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D45E43" w14:textId="77777777" w:rsidR="00760AB6" w:rsidRDefault="00760AB6" w:rsidP="00760AB6">
      <w:pPr>
        <w:pStyle w:val="a3"/>
        <w:spacing w:before="0" w:beforeAutospacing="0" w:line="600" w:lineRule="atLeast"/>
        <w:jc w:val="center"/>
        <w:rPr>
          <w:sz w:val="48"/>
          <w:szCs w:val="48"/>
        </w:rPr>
      </w:pPr>
      <w:r>
        <w:rPr>
          <w:rStyle w:val="a4"/>
          <w:rFonts w:ascii="黑体" w:eastAsia="黑体" w:hAnsi="黑体" w:hint="eastAsia"/>
          <w:sz w:val="48"/>
          <w:szCs w:val="48"/>
        </w:rPr>
        <w:t>天津市知识产权资助项目与专项资金管理办法</w:t>
      </w:r>
    </w:p>
    <w:p w14:paraId="0230F487" w14:textId="77777777" w:rsidR="00760AB6" w:rsidRDefault="00760AB6" w:rsidP="00760AB6">
      <w:pPr>
        <w:pStyle w:val="a3"/>
        <w:spacing w:line="600" w:lineRule="atLeast"/>
        <w:jc w:val="center"/>
      </w:pPr>
    </w:p>
    <w:p w14:paraId="2B219DC2" w14:textId="77777777" w:rsidR="00760AB6" w:rsidRDefault="00760AB6" w:rsidP="00760AB6">
      <w:pPr>
        <w:pStyle w:val="a3"/>
        <w:spacing w:line="600" w:lineRule="atLeast"/>
        <w:jc w:val="center"/>
      </w:pPr>
      <w:r>
        <w:rPr>
          <w:rFonts w:ascii="黑体" w:eastAsia="黑体" w:hAnsi="黑体" w:hint="eastAsia"/>
          <w:sz w:val="32"/>
          <w:szCs w:val="32"/>
        </w:rPr>
        <w:t>第一章</w:t>
      </w:r>
      <w:r>
        <w:rPr>
          <w:sz w:val="32"/>
          <w:szCs w:val="32"/>
        </w:rPr>
        <w:t> </w:t>
      </w:r>
      <w:r>
        <w:rPr>
          <w:sz w:val="32"/>
          <w:szCs w:val="32"/>
        </w:rPr>
        <w:t> </w:t>
      </w:r>
      <w:r>
        <w:rPr>
          <w:rFonts w:ascii="黑体" w:eastAsia="黑体" w:hAnsi="黑体" w:hint="eastAsia"/>
          <w:sz w:val="32"/>
          <w:szCs w:val="32"/>
        </w:rPr>
        <w:t>总则</w:t>
      </w:r>
    </w:p>
    <w:p w14:paraId="43ADF698" w14:textId="77777777" w:rsidR="00760AB6" w:rsidRDefault="00760AB6" w:rsidP="00760AB6">
      <w:pPr>
        <w:pStyle w:val="a3"/>
        <w:shd w:val="clear" w:color="auto" w:fill="FFFFFF"/>
        <w:spacing w:before="0" w:beforeAutospacing="0" w:after="0" w:afterAutospacing="0" w:line="600" w:lineRule="atLeast"/>
        <w:ind w:firstLine="645"/>
        <w:jc w:val="both"/>
      </w:pPr>
      <w:r>
        <w:rPr>
          <w:rFonts w:ascii="黑体" w:eastAsia="黑体" w:hAnsi="黑体" w:hint="eastAsia"/>
          <w:sz w:val="32"/>
          <w:szCs w:val="32"/>
        </w:rPr>
        <w:t>第一条</w:t>
      </w:r>
      <w:r>
        <w:t> </w:t>
      </w:r>
      <w:r>
        <w:rPr>
          <w:rFonts w:ascii="仿宋_GB2312" w:eastAsia="仿宋_GB2312" w:hint="eastAsia"/>
          <w:sz w:val="32"/>
          <w:szCs w:val="32"/>
        </w:rPr>
        <w:t>为树牢保护知识产权就是保护创新理念，发挥知识产权助力经济社会高质量发展的作用，加强对本市知识产权资助项目与专项资金的管理，保证知识产权资助项目管理的公开、公正、科学，根据《中共天津市委办公厅</w:t>
      </w:r>
      <w:r>
        <w:t> </w:t>
      </w:r>
      <w:r>
        <w:rPr>
          <w:rFonts w:ascii="仿宋_GB2312" w:eastAsia="仿宋_GB2312" w:hint="eastAsia"/>
          <w:sz w:val="32"/>
          <w:szCs w:val="32"/>
        </w:rPr>
        <w:t>天津市人民政府办公厅印发〈关于强化知识产权保护的实施意见〉的通知》（津</w:t>
      </w:r>
      <w:proofErr w:type="gramStart"/>
      <w:r>
        <w:rPr>
          <w:rFonts w:ascii="仿宋_GB2312" w:eastAsia="仿宋_GB2312" w:hint="eastAsia"/>
          <w:sz w:val="32"/>
          <w:szCs w:val="32"/>
        </w:rPr>
        <w:t>党办发</w:t>
      </w:r>
      <w:proofErr w:type="gramEnd"/>
      <w:r>
        <w:rPr>
          <w:rFonts w:ascii="仿宋_GB2312" w:eastAsia="仿宋_GB2312" w:hint="eastAsia"/>
          <w:sz w:val="32"/>
          <w:szCs w:val="32"/>
        </w:rPr>
        <w:t>〔</w:t>
      </w:r>
      <w:r>
        <w:rPr>
          <w:rFonts w:ascii="Times New Roman" w:hAnsi="Times New Roman" w:cs="Times New Roman"/>
          <w:sz w:val="32"/>
          <w:szCs w:val="32"/>
        </w:rPr>
        <w:t>2020</w:t>
      </w:r>
      <w:r>
        <w:rPr>
          <w:rFonts w:ascii="仿宋_GB2312" w:eastAsia="仿宋_GB2312" w:hint="eastAsia"/>
          <w:sz w:val="32"/>
          <w:szCs w:val="32"/>
        </w:rPr>
        <w:t>〕</w:t>
      </w:r>
      <w:r>
        <w:rPr>
          <w:rFonts w:ascii="Times New Roman" w:hAnsi="Times New Roman" w:cs="Times New Roman"/>
          <w:sz w:val="32"/>
          <w:szCs w:val="32"/>
        </w:rPr>
        <w:t>14</w:t>
      </w:r>
      <w:r>
        <w:rPr>
          <w:rFonts w:ascii="仿宋_GB2312" w:eastAsia="仿宋_GB2312" w:hint="eastAsia"/>
          <w:sz w:val="32"/>
          <w:szCs w:val="32"/>
        </w:rPr>
        <w:t>号）、《中华人民共和国预算法》、《中共天津市委</w:t>
      </w:r>
      <w:r>
        <w:t> </w:t>
      </w:r>
      <w:r>
        <w:rPr>
          <w:rFonts w:ascii="仿宋_GB2312" w:eastAsia="仿宋_GB2312" w:hint="eastAsia"/>
          <w:sz w:val="32"/>
          <w:szCs w:val="32"/>
        </w:rPr>
        <w:t>天津市人民政府印发〈关于全面推进预算绩效管理的实施方案〉的通知》（</w:t>
      </w:r>
      <w:proofErr w:type="gramStart"/>
      <w:r>
        <w:rPr>
          <w:rFonts w:ascii="仿宋_GB2312" w:eastAsia="仿宋_GB2312" w:hint="eastAsia"/>
          <w:sz w:val="32"/>
          <w:szCs w:val="32"/>
        </w:rPr>
        <w:t>津党发</w:t>
      </w:r>
      <w:proofErr w:type="gramEnd"/>
      <w:r>
        <w:rPr>
          <w:rFonts w:ascii="仿宋_GB2312" w:eastAsia="仿宋_GB2312" w:hint="eastAsia"/>
          <w:sz w:val="32"/>
          <w:szCs w:val="32"/>
        </w:rPr>
        <w:t>〔</w:t>
      </w:r>
      <w:r>
        <w:rPr>
          <w:rFonts w:ascii="Times New Roman" w:hAnsi="Times New Roman" w:cs="Times New Roman"/>
          <w:sz w:val="32"/>
          <w:szCs w:val="32"/>
        </w:rPr>
        <w:t>2019</w:t>
      </w:r>
      <w:r>
        <w:rPr>
          <w:rFonts w:ascii="仿宋_GB2312" w:eastAsia="仿宋_GB2312" w:hint="eastAsia"/>
          <w:sz w:val="32"/>
          <w:szCs w:val="32"/>
        </w:rPr>
        <w:t>〕</w:t>
      </w:r>
      <w:r>
        <w:rPr>
          <w:rFonts w:ascii="Times New Roman" w:hAnsi="Times New Roman" w:cs="Times New Roman"/>
          <w:sz w:val="32"/>
          <w:szCs w:val="32"/>
        </w:rPr>
        <w:t>25</w:t>
      </w:r>
      <w:r>
        <w:rPr>
          <w:rFonts w:ascii="仿宋_GB2312" w:eastAsia="仿宋_GB2312" w:hint="eastAsia"/>
          <w:sz w:val="32"/>
          <w:szCs w:val="32"/>
        </w:rPr>
        <w:t>号）等有关规定，制定本办法。</w:t>
      </w:r>
    </w:p>
    <w:p w14:paraId="03D9EAE8" w14:textId="77777777" w:rsidR="00760AB6" w:rsidRDefault="00760AB6" w:rsidP="00760AB6">
      <w:pPr>
        <w:pStyle w:val="a3"/>
        <w:shd w:val="clear" w:color="auto" w:fill="FFFFFF"/>
        <w:spacing w:before="0" w:beforeAutospacing="0" w:after="0" w:afterAutospacing="0" w:line="600" w:lineRule="atLeast"/>
        <w:ind w:firstLine="645"/>
        <w:jc w:val="both"/>
      </w:pPr>
      <w:r>
        <w:rPr>
          <w:rFonts w:ascii="黑体" w:eastAsia="黑体" w:hAnsi="黑体" w:hint="eastAsia"/>
          <w:sz w:val="32"/>
          <w:szCs w:val="32"/>
        </w:rPr>
        <w:t>第二条</w:t>
      </w:r>
      <w:r>
        <w:t> </w:t>
      </w:r>
      <w:r>
        <w:rPr>
          <w:rFonts w:ascii="仿宋_GB2312" w:eastAsia="仿宋_GB2312" w:hint="eastAsia"/>
          <w:sz w:val="32"/>
          <w:szCs w:val="32"/>
        </w:rPr>
        <w:t>本办法所称知识产权资助项目指对本市开展有关知识产权工作给予一定财政资金资助的项目。凡依法在本市注册登记的企业、事业单位、社会组织和个人，可依照本办法申报知识产权资助项目。</w:t>
      </w:r>
    </w:p>
    <w:p w14:paraId="5A1576E9" w14:textId="77777777" w:rsidR="00760AB6" w:rsidRDefault="00760AB6" w:rsidP="00760AB6">
      <w:pPr>
        <w:pStyle w:val="a3"/>
        <w:shd w:val="clear" w:color="auto" w:fill="FFFFFF"/>
        <w:spacing w:before="0" w:beforeAutospacing="0" w:after="0" w:afterAutospacing="0" w:line="600" w:lineRule="atLeast"/>
        <w:ind w:firstLine="645"/>
        <w:jc w:val="both"/>
      </w:pPr>
      <w:r>
        <w:rPr>
          <w:rFonts w:ascii="黑体" w:eastAsia="黑体" w:hAnsi="黑体" w:hint="eastAsia"/>
          <w:sz w:val="32"/>
          <w:szCs w:val="32"/>
        </w:rPr>
        <w:t>第三条</w:t>
      </w:r>
      <w:r>
        <w:t> </w:t>
      </w:r>
      <w:r>
        <w:rPr>
          <w:rFonts w:ascii="仿宋_GB2312" w:eastAsia="仿宋_GB2312" w:hint="eastAsia"/>
          <w:sz w:val="32"/>
          <w:szCs w:val="32"/>
        </w:rPr>
        <w:t>本办法所称知识产权专项资金（以下简称</w:t>
      </w:r>
      <w:r>
        <w:rPr>
          <w:sz w:val="32"/>
          <w:szCs w:val="32"/>
        </w:rPr>
        <w:t>“</w:t>
      </w:r>
      <w:r>
        <w:rPr>
          <w:rFonts w:ascii="仿宋_GB2312" w:eastAsia="仿宋_GB2312" w:hint="eastAsia"/>
          <w:sz w:val="32"/>
          <w:szCs w:val="32"/>
        </w:rPr>
        <w:t>专项资金</w:t>
      </w:r>
      <w:r>
        <w:rPr>
          <w:sz w:val="32"/>
          <w:szCs w:val="32"/>
        </w:rPr>
        <w:t>”</w:t>
      </w:r>
      <w:r>
        <w:rPr>
          <w:rFonts w:ascii="仿宋_GB2312" w:eastAsia="仿宋_GB2312" w:hint="eastAsia"/>
          <w:sz w:val="32"/>
          <w:szCs w:val="32"/>
        </w:rPr>
        <w:t>）是由市财政预算安排，用于本市提高知识产权创造质量与运用效益、强化知识产权保护、提升知识产权管理效能与服务能力等的资金。</w:t>
      </w:r>
    </w:p>
    <w:p w14:paraId="047F9E11" w14:textId="77777777" w:rsidR="00760AB6" w:rsidRDefault="00760AB6" w:rsidP="00760AB6">
      <w:pPr>
        <w:pStyle w:val="a3"/>
        <w:shd w:val="clear" w:color="auto" w:fill="FFFFFF"/>
        <w:spacing w:before="0" w:beforeAutospacing="0" w:after="0" w:afterAutospacing="0" w:line="600" w:lineRule="atLeast"/>
        <w:ind w:firstLine="645"/>
        <w:jc w:val="both"/>
      </w:pPr>
      <w:r>
        <w:rPr>
          <w:rFonts w:ascii="仿宋_GB2312" w:eastAsia="仿宋_GB2312" w:hint="eastAsia"/>
          <w:sz w:val="32"/>
          <w:szCs w:val="32"/>
        </w:rPr>
        <w:lastRenderedPageBreak/>
        <w:t>项目已经获得市级财政资金专项支持的，不属于本办法资助范围。</w:t>
      </w:r>
    </w:p>
    <w:p w14:paraId="2EDFA85A" w14:textId="77777777" w:rsidR="00760AB6" w:rsidRDefault="00760AB6" w:rsidP="00760AB6">
      <w:pPr>
        <w:pStyle w:val="a3"/>
        <w:shd w:val="clear" w:color="auto" w:fill="FFFFFF"/>
        <w:spacing w:before="0" w:beforeAutospacing="0" w:after="0" w:afterAutospacing="0" w:line="600" w:lineRule="atLeast"/>
        <w:ind w:firstLine="645"/>
        <w:jc w:val="both"/>
      </w:pPr>
      <w:r>
        <w:rPr>
          <w:sz w:val="32"/>
          <w:szCs w:val="32"/>
        </w:rPr>
        <w:t> </w:t>
      </w:r>
    </w:p>
    <w:p w14:paraId="554A44AF" w14:textId="77777777" w:rsidR="00760AB6" w:rsidRDefault="00760AB6" w:rsidP="00760AB6">
      <w:pPr>
        <w:pStyle w:val="a3"/>
        <w:shd w:val="clear" w:color="auto" w:fill="FFFFFF"/>
        <w:spacing w:before="0" w:beforeAutospacing="0" w:after="0" w:afterAutospacing="0" w:line="600" w:lineRule="atLeast"/>
        <w:jc w:val="center"/>
      </w:pPr>
      <w:r>
        <w:rPr>
          <w:rFonts w:ascii="黑体" w:eastAsia="黑体" w:hAnsi="黑体" w:hint="eastAsia"/>
          <w:sz w:val="32"/>
          <w:szCs w:val="32"/>
        </w:rPr>
        <w:t>第二章</w:t>
      </w:r>
      <w:r>
        <w:rPr>
          <w:rFonts w:ascii="Times New Roman" w:hAnsi="Times New Roman" w:cs="Times New Roman"/>
          <w:sz w:val="32"/>
          <w:szCs w:val="32"/>
        </w:rPr>
        <w:t> </w:t>
      </w:r>
      <w:r>
        <w:rPr>
          <w:rFonts w:ascii="Times New Roman" w:hAnsi="Times New Roman" w:cs="Times New Roman"/>
          <w:sz w:val="32"/>
          <w:szCs w:val="32"/>
        </w:rPr>
        <w:t> </w:t>
      </w:r>
      <w:r>
        <w:rPr>
          <w:rFonts w:ascii="黑体" w:eastAsia="黑体" w:hAnsi="黑体" w:hint="eastAsia"/>
          <w:sz w:val="32"/>
          <w:szCs w:val="32"/>
        </w:rPr>
        <w:t>职责分工</w:t>
      </w:r>
    </w:p>
    <w:p w14:paraId="1D39CC10" w14:textId="77777777" w:rsidR="00760AB6" w:rsidRDefault="00760AB6" w:rsidP="00760AB6">
      <w:pPr>
        <w:pStyle w:val="a3"/>
        <w:spacing w:line="600" w:lineRule="atLeast"/>
        <w:ind w:firstLine="645"/>
      </w:pPr>
      <w:r>
        <w:rPr>
          <w:rFonts w:ascii="黑体" w:eastAsia="黑体" w:hAnsi="黑体" w:hint="eastAsia"/>
          <w:sz w:val="32"/>
          <w:szCs w:val="32"/>
        </w:rPr>
        <w:t>第四条</w:t>
      </w:r>
      <w:r>
        <w:t> </w:t>
      </w:r>
      <w:r>
        <w:rPr>
          <w:rFonts w:ascii="仿宋_GB2312" w:eastAsia="仿宋_GB2312" w:hint="eastAsia"/>
          <w:sz w:val="32"/>
          <w:szCs w:val="32"/>
        </w:rPr>
        <w:t>知识产权资助项目与专项资金由市知识产权局会同市财政局按照职责分工实施管理和监督：</w:t>
      </w:r>
    </w:p>
    <w:p w14:paraId="4D563729" w14:textId="77777777" w:rsidR="00760AB6" w:rsidRDefault="00760AB6" w:rsidP="00760AB6">
      <w:pPr>
        <w:pStyle w:val="a3"/>
        <w:spacing w:line="600" w:lineRule="atLeast"/>
        <w:ind w:firstLine="645"/>
      </w:pPr>
      <w:r>
        <w:rPr>
          <w:rFonts w:ascii="仿宋_GB2312" w:eastAsia="仿宋_GB2312" w:hint="eastAsia"/>
          <w:sz w:val="32"/>
          <w:szCs w:val="32"/>
        </w:rPr>
        <w:t>（一）市知识产权局是知识产权资助项目与专项资金的管理执行部门，负责提出项目年度支持范围、方式、标准以及有关要求等，制定并发布年度申报指南；提出预算安排建议，编制资金安排使用计划，进行项目库管理，申报专项资金绩效目标，加强资助项目事前、事中和事后全过程监管；对专项资金预算执行情况进行跟踪监管和绩效管理、信息公开；组织项目验收等。</w:t>
      </w:r>
    </w:p>
    <w:p w14:paraId="7F8F0651" w14:textId="77777777" w:rsidR="00760AB6" w:rsidRDefault="00760AB6" w:rsidP="00760AB6">
      <w:pPr>
        <w:pStyle w:val="a3"/>
        <w:spacing w:line="600" w:lineRule="atLeast"/>
        <w:ind w:firstLine="645"/>
      </w:pPr>
      <w:r>
        <w:rPr>
          <w:rFonts w:ascii="仿宋_GB2312" w:eastAsia="仿宋_GB2312" w:hint="eastAsia"/>
          <w:sz w:val="32"/>
          <w:szCs w:val="32"/>
        </w:rPr>
        <w:t>（二）市财政局是专项资金的统筹协调部门，负责组织专项资金预算编制，对市知识产权局报送的专项资金预算和绩效目标进行审核、批复；办理专项资金拨付；对预算执行和绩效目标实现情况进行监控，并组织开展绩效评价等。</w:t>
      </w:r>
    </w:p>
    <w:p w14:paraId="2CF25D3E" w14:textId="77777777" w:rsidR="00760AB6" w:rsidRDefault="00760AB6" w:rsidP="00760AB6">
      <w:pPr>
        <w:pStyle w:val="a3"/>
        <w:spacing w:line="600" w:lineRule="atLeast"/>
        <w:ind w:firstLine="645"/>
      </w:pPr>
      <w:r>
        <w:rPr>
          <w:rFonts w:ascii="黑体" w:eastAsia="黑体" w:hAnsi="黑体" w:hint="eastAsia"/>
          <w:sz w:val="32"/>
          <w:szCs w:val="32"/>
        </w:rPr>
        <w:t>第五条</w:t>
      </w:r>
      <w:r>
        <w:t> </w:t>
      </w:r>
      <w:r>
        <w:rPr>
          <w:rFonts w:ascii="仿宋_GB2312" w:eastAsia="仿宋_GB2312" w:hint="eastAsia"/>
          <w:sz w:val="32"/>
          <w:szCs w:val="32"/>
        </w:rPr>
        <w:t>获得专项资金的单位和个人按照本办法规定提交资助项目申报材料，负责项目具体实施和资金使用安</w:t>
      </w:r>
      <w:r>
        <w:rPr>
          <w:rFonts w:ascii="仿宋_GB2312" w:eastAsia="仿宋_GB2312" w:hint="eastAsia"/>
          <w:sz w:val="32"/>
          <w:szCs w:val="32"/>
        </w:rPr>
        <w:lastRenderedPageBreak/>
        <w:t>全，合理安排使用专项资金，确保专项资金使用范围符合规定，充分发挥资金使用效益，做好绩效自评、项目验收总结等工作，自觉接受相关部门的监督和检查。</w:t>
      </w:r>
    </w:p>
    <w:p w14:paraId="68EFEB43" w14:textId="77777777" w:rsidR="00760AB6" w:rsidRDefault="00760AB6" w:rsidP="00760AB6">
      <w:pPr>
        <w:pStyle w:val="a3"/>
        <w:spacing w:line="600" w:lineRule="atLeast"/>
      </w:pPr>
      <w:r>
        <w:rPr>
          <w:sz w:val="32"/>
          <w:szCs w:val="32"/>
        </w:rPr>
        <w:t> </w:t>
      </w:r>
    </w:p>
    <w:p w14:paraId="57215E14" w14:textId="77777777" w:rsidR="00760AB6" w:rsidRDefault="00760AB6" w:rsidP="00760AB6">
      <w:pPr>
        <w:pStyle w:val="a3"/>
        <w:spacing w:line="600" w:lineRule="atLeast"/>
        <w:jc w:val="center"/>
      </w:pPr>
      <w:r>
        <w:rPr>
          <w:rFonts w:ascii="黑体" w:eastAsia="黑体" w:hAnsi="黑体" w:hint="eastAsia"/>
          <w:sz w:val="32"/>
          <w:szCs w:val="32"/>
        </w:rPr>
        <w:t>第三章</w:t>
      </w:r>
      <w:r>
        <w:rPr>
          <w:sz w:val="32"/>
          <w:szCs w:val="32"/>
        </w:rPr>
        <w:t> </w:t>
      </w:r>
      <w:r>
        <w:rPr>
          <w:sz w:val="32"/>
          <w:szCs w:val="32"/>
        </w:rPr>
        <w:t> </w:t>
      </w:r>
      <w:r>
        <w:rPr>
          <w:rFonts w:ascii="黑体" w:eastAsia="黑体" w:hAnsi="黑体" w:hint="eastAsia"/>
          <w:sz w:val="32"/>
          <w:szCs w:val="32"/>
        </w:rPr>
        <w:t>支持范围、方式和标准</w:t>
      </w:r>
    </w:p>
    <w:p w14:paraId="3622FEF5" w14:textId="77777777" w:rsidR="00760AB6" w:rsidRDefault="00760AB6" w:rsidP="00760AB6">
      <w:pPr>
        <w:pStyle w:val="a3"/>
        <w:spacing w:line="600" w:lineRule="atLeast"/>
        <w:ind w:firstLine="645"/>
      </w:pPr>
      <w:r>
        <w:rPr>
          <w:rFonts w:ascii="黑体" w:eastAsia="黑体" w:hAnsi="黑体" w:hint="eastAsia"/>
          <w:sz w:val="32"/>
          <w:szCs w:val="32"/>
        </w:rPr>
        <w:t>第六条</w:t>
      </w:r>
      <w:r>
        <w:t> </w:t>
      </w:r>
      <w:r>
        <w:rPr>
          <w:rFonts w:ascii="仿宋_GB2312" w:eastAsia="仿宋_GB2312" w:hint="eastAsia"/>
          <w:sz w:val="32"/>
          <w:szCs w:val="32"/>
        </w:rPr>
        <w:t>专项资金主要用于以下项目：</w:t>
      </w:r>
    </w:p>
    <w:p w14:paraId="779BC0BC" w14:textId="77777777" w:rsidR="00760AB6" w:rsidRDefault="00760AB6" w:rsidP="00760AB6">
      <w:pPr>
        <w:pStyle w:val="a3"/>
        <w:spacing w:line="600" w:lineRule="atLeast"/>
        <w:ind w:firstLine="645"/>
      </w:pPr>
      <w:r>
        <w:rPr>
          <w:rFonts w:ascii="仿宋_GB2312" w:eastAsia="仿宋_GB2312" w:hint="eastAsia"/>
          <w:sz w:val="32"/>
          <w:szCs w:val="32"/>
        </w:rPr>
        <w:t>（一）知识产权保护体系建设项目。建设</w:t>
      </w:r>
      <w:r>
        <w:rPr>
          <w:sz w:val="32"/>
          <w:szCs w:val="32"/>
        </w:rPr>
        <w:t> “</w:t>
      </w:r>
      <w:r>
        <w:rPr>
          <w:rFonts w:ascii="仿宋_GB2312" w:eastAsia="仿宋_GB2312" w:hint="eastAsia"/>
          <w:sz w:val="32"/>
          <w:szCs w:val="32"/>
        </w:rPr>
        <w:t>严保护、大保护、快保护、同保护</w:t>
      </w:r>
      <w:r>
        <w:rPr>
          <w:sz w:val="32"/>
          <w:szCs w:val="32"/>
        </w:rPr>
        <w:t>”</w:t>
      </w:r>
      <w:r>
        <w:rPr>
          <w:rFonts w:ascii="仿宋_GB2312" w:eastAsia="仿宋_GB2312" w:hint="eastAsia"/>
          <w:sz w:val="32"/>
          <w:szCs w:val="32"/>
        </w:rPr>
        <w:t>的知识产权保护体系，主要用于：开展国内外知识产权维权、风险防控、维</w:t>
      </w:r>
      <w:proofErr w:type="gramStart"/>
      <w:r>
        <w:rPr>
          <w:rFonts w:ascii="仿宋_GB2312" w:eastAsia="仿宋_GB2312" w:hint="eastAsia"/>
          <w:sz w:val="32"/>
          <w:szCs w:val="32"/>
        </w:rPr>
        <w:t>权保险</w:t>
      </w:r>
      <w:proofErr w:type="gramEnd"/>
      <w:r>
        <w:rPr>
          <w:rFonts w:ascii="仿宋_GB2312" w:eastAsia="仿宋_GB2312" w:hint="eastAsia"/>
          <w:sz w:val="32"/>
          <w:szCs w:val="32"/>
        </w:rPr>
        <w:t>等援助服务；支持提供知识产权法律咨询、保护指引、技术支持、纠纷调解等公共服务；专利纠纷调解裁决体系建设和工作指导；开展知识产权区域保护、知识产权保护跨区域合作等。</w:t>
      </w:r>
    </w:p>
    <w:p w14:paraId="2D3DF44B" w14:textId="77777777" w:rsidR="00760AB6" w:rsidRDefault="00760AB6" w:rsidP="00760AB6">
      <w:pPr>
        <w:pStyle w:val="a3"/>
        <w:spacing w:line="600" w:lineRule="atLeast"/>
        <w:ind w:firstLine="645"/>
      </w:pPr>
      <w:r>
        <w:rPr>
          <w:rFonts w:ascii="仿宋_GB2312" w:eastAsia="仿宋_GB2312" w:hint="eastAsia"/>
          <w:sz w:val="32"/>
          <w:szCs w:val="32"/>
        </w:rPr>
        <w:t>（二）高质量知识产权创造项目。支持企事业单位高质量知识产权创造，主要用于：支持知识产权试点、示范等培育工作；支持国外专利布局、知识产权管理规范；支持商标、地理标志、集成电路布图设计高质量发展等。</w:t>
      </w:r>
    </w:p>
    <w:p w14:paraId="3CD1AECC" w14:textId="77777777" w:rsidR="00760AB6" w:rsidRDefault="00760AB6" w:rsidP="00760AB6">
      <w:pPr>
        <w:pStyle w:val="a3"/>
        <w:spacing w:line="600" w:lineRule="atLeast"/>
        <w:ind w:firstLine="645"/>
      </w:pPr>
      <w:r>
        <w:rPr>
          <w:rFonts w:ascii="仿宋_GB2312" w:eastAsia="仿宋_GB2312" w:hint="eastAsia"/>
          <w:sz w:val="32"/>
          <w:szCs w:val="32"/>
        </w:rPr>
        <w:t>（三）知识产权运营体系建设项目。构建知识产权运营体系，主要用于：支持知识产权证券化、质押融资、保</w:t>
      </w:r>
      <w:r>
        <w:rPr>
          <w:rFonts w:ascii="仿宋_GB2312" w:eastAsia="仿宋_GB2312" w:hint="eastAsia"/>
          <w:sz w:val="32"/>
          <w:szCs w:val="32"/>
        </w:rPr>
        <w:lastRenderedPageBreak/>
        <w:t>险等金融创新；推动知识产权示范园（区）、运营中心、特色小镇等建设；支持知识产权导航、成果对接、军民融合等产业化；奖励获得中国专利金奖和天津市专利奖的单位和发明人、设计人。</w:t>
      </w:r>
    </w:p>
    <w:p w14:paraId="532BA1DF" w14:textId="77777777" w:rsidR="00760AB6" w:rsidRDefault="00760AB6" w:rsidP="00760AB6">
      <w:pPr>
        <w:pStyle w:val="a3"/>
        <w:spacing w:line="600" w:lineRule="atLeast"/>
        <w:ind w:firstLine="645"/>
      </w:pPr>
      <w:r>
        <w:rPr>
          <w:rFonts w:ascii="仿宋_GB2312" w:eastAsia="仿宋_GB2312" w:hint="eastAsia"/>
          <w:sz w:val="32"/>
          <w:szCs w:val="32"/>
        </w:rPr>
        <w:t>（四）知识产权服务体系建设和服务业监管项目。建设知识产权公共服务体系，主要用于：开展知识产权服务网点和信息化建设；支持知识产权分析、风险预警、评议等信息利用；推动知识产权专家智库、培训基地、知识产权学科等人才培育工作；开展知识产权服务业集聚区、监管等工作。</w:t>
      </w:r>
    </w:p>
    <w:p w14:paraId="4BEDD914" w14:textId="77777777" w:rsidR="00760AB6" w:rsidRDefault="00760AB6" w:rsidP="00760AB6">
      <w:pPr>
        <w:pStyle w:val="a3"/>
        <w:spacing w:line="600" w:lineRule="atLeast"/>
        <w:ind w:firstLine="645"/>
      </w:pPr>
      <w:r>
        <w:rPr>
          <w:rFonts w:ascii="仿宋_GB2312" w:eastAsia="仿宋_GB2312" w:hint="eastAsia"/>
          <w:sz w:val="32"/>
          <w:szCs w:val="32"/>
        </w:rPr>
        <w:t>（五）知识产权宏观管理项目。做好知识产权宣传、规划及基础保障工作，主要用于：开展知识产权进企业、进单位、进社区、进学校、进网络等普法、宣传活动，开展舆情监测；开展创新创业大赛、青少年知识产权教育等活动；开展知识产权相关研究、报告及规划编制等工作；开展项目评审、绩效考核评价等管理工作；支持知识产权专项资金信息化系统运维等保障工作。</w:t>
      </w:r>
    </w:p>
    <w:p w14:paraId="7EADB1C6" w14:textId="77777777" w:rsidR="00760AB6" w:rsidRDefault="00760AB6" w:rsidP="00760AB6">
      <w:pPr>
        <w:pStyle w:val="a3"/>
        <w:spacing w:line="600" w:lineRule="atLeast"/>
        <w:ind w:firstLine="645"/>
      </w:pPr>
      <w:r>
        <w:rPr>
          <w:rFonts w:ascii="仿宋_GB2312" w:eastAsia="仿宋_GB2312" w:hint="eastAsia"/>
          <w:sz w:val="32"/>
          <w:szCs w:val="32"/>
        </w:rPr>
        <w:t>（六）重点任务专项。主要用于：加强京津冀知识产权协同发展，走出去企业知识产权服务，按照党中央、国务院明确要求由地方安排落实的项目，落实市委市政府在知识产权领域重点工作等重点专项任务。</w:t>
      </w:r>
    </w:p>
    <w:p w14:paraId="6889ED24" w14:textId="77777777" w:rsidR="00760AB6" w:rsidRDefault="00760AB6" w:rsidP="00760AB6">
      <w:pPr>
        <w:pStyle w:val="a3"/>
        <w:spacing w:line="600" w:lineRule="atLeast"/>
        <w:ind w:firstLine="645"/>
      </w:pPr>
      <w:r>
        <w:rPr>
          <w:rFonts w:ascii="黑体" w:eastAsia="黑体" w:hAnsi="黑体" w:hint="eastAsia"/>
          <w:sz w:val="32"/>
          <w:szCs w:val="32"/>
        </w:rPr>
        <w:lastRenderedPageBreak/>
        <w:t>第七条</w:t>
      </w:r>
      <w:r>
        <w:t> </w:t>
      </w:r>
      <w:r>
        <w:rPr>
          <w:rFonts w:ascii="仿宋_GB2312" w:eastAsia="仿宋_GB2312" w:hint="eastAsia"/>
          <w:sz w:val="32"/>
          <w:szCs w:val="32"/>
        </w:rPr>
        <w:t>专项资金实行总量控制，市知识产权局根据国家及我市知识产权发展规划及有关工作要求，结合专项资金年初预算规模，合理确定年度项目资助分配比例，对符合本管理办法规定的项目，给予资助，重点对知识产权保护项目予以支持。</w:t>
      </w:r>
    </w:p>
    <w:p w14:paraId="0E5B73CB" w14:textId="77777777" w:rsidR="00760AB6" w:rsidRDefault="00760AB6" w:rsidP="00760AB6">
      <w:pPr>
        <w:pStyle w:val="a3"/>
        <w:shd w:val="clear" w:color="auto" w:fill="FFFFFF"/>
        <w:spacing w:line="600" w:lineRule="atLeast"/>
        <w:ind w:firstLine="645"/>
        <w:textAlignment w:val="baseline"/>
      </w:pPr>
      <w:r>
        <w:rPr>
          <w:rFonts w:ascii="黑体" w:eastAsia="黑体" w:hAnsi="黑体" w:hint="eastAsia"/>
          <w:sz w:val="32"/>
          <w:szCs w:val="32"/>
        </w:rPr>
        <w:t>第八条</w:t>
      </w:r>
      <w:r>
        <w:t> </w:t>
      </w:r>
      <w:r>
        <w:rPr>
          <w:rFonts w:ascii="仿宋_GB2312" w:eastAsia="仿宋_GB2312" w:hint="eastAsia"/>
          <w:sz w:val="32"/>
          <w:szCs w:val="32"/>
        </w:rPr>
        <w:t>一个项目原则上只能申请一项专项资金，同一项目不得重复申报或多头申报。</w:t>
      </w:r>
    </w:p>
    <w:p w14:paraId="6575F3EF" w14:textId="77777777" w:rsidR="00760AB6" w:rsidRDefault="00760AB6" w:rsidP="00760AB6">
      <w:pPr>
        <w:pStyle w:val="a3"/>
        <w:shd w:val="clear" w:color="auto" w:fill="FFFFFF"/>
        <w:spacing w:line="600" w:lineRule="atLeast"/>
        <w:ind w:firstLine="645"/>
        <w:textAlignment w:val="baseline"/>
      </w:pPr>
      <w:r>
        <w:rPr>
          <w:rFonts w:ascii="仿宋_GB2312" w:eastAsia="仿宋_GB2312" w:hint="eastAsia"/>
          <w:sz w:val="32"/>
          <w:szCs w:val="32"/>
        </w:rPr>
        <w:t>对于本办法第六条，单项支持金额最高不超过</w:t>
      </w:r>
      <w:r>
        <w:rPr>
          <w:sz w:val="32"/>
          <w:szCs w:val="32"/>
        </w:rPr>
        <w:t>50</w:t>
      </w:r>
      <w:r>
        <w:rPr>
          <w:rFonts w:ascii="仿宋_GB2312" w:eastAsia="仿宋_GB2312" w:hint="eastAsia"/>
          <w:sz w:val="32"/>
          <w:szCs w:val="32"/>
        </w:rPr>
        <w:t>万元，对符合多项支持条件的单位，每年申请的项目类别数量不超过</w:t>
      </w:r>
      <w:r>
        <w:rPr>
          <w:sz w:val="32"/>
          <w:szCs w:val="32"/>
        </w:rPr>
        <w:t> 2 </w:t>
      </w:r>
      <w:proofErr w:type="gramStart"/>
      <w:r>
        <w:rPr>
          <w:rFonts w:ascii="仿宋_GB2312" w:eastAsia="仿宋_GB2312" w:hint="eastAsia"/>
          <w:sz w:val="32"/>
          <w:szCs w:val="32"/>
        </w:rPr>
        <w:t>个</w:t>
      </w:r>
      <w:proofErr w:type="gramEnd"/>
      <w:r>
        <w:rPr>
          <w:rFonts w:ascii="仿宋_GB2312" w:eastAsia="仿宋_GB2312" w:hint="eastAsia"/>
          <w:sz w:val="32"/>
          <w:szCs w:val="32"/>
        </w:rPr>
        <w:t>，支持金额当年合计不超过</w:t>
      </w:r>
      <w:r>
        <w:rPr>
          <w:sz w:val="32"/>
          <w:szCs w:val="32"/>
        </w:rPr>
        <w:t>100</w:t>
      </w:r>
      <w:r>
        <w:rPr>
          <w:rFonts w:ascii="仿宋_GB2312" w:eastAsia="仿宋_GB2312" w:hint="eastAsia"/>
          <w:sz w:val="32"/>
          <w:szCs w:val="32"/>
        </w:rPr>
        <w:t>万元（不包括中国专利金奖、天津市专利金奖、天津市专利优秀奖和天津市专利创业奖）。</w:t>
      </w:r>
    </w:p>
    <w:p w14:paraId="791BF2B6" w14:textId="77777777" w:rsidR="00760AB6" w:rsidRDefault="00760AB6" w:rsidP="00760AB6">
      <w:pPr>
        <w:pStyle w:val="a3"/>
        <w:spacing w:line="600" w:lineRule="atLeast"/>
        <w:ind w:firstLine="645"/>
      </w:pPr>
      <w:r>
        <w:rPr>
          <w:rFonts w:ascii="黑体" w:eastAsia="黑体" w:hAnsi="黑体" w:hint="eastAsia"/>
          <w:sz w:val="32"/>
          <w:szCs w:val="32"/>
        </w:rPr>
        <w:t>第九条</w:t>
      </w:r>
      <w:r>
        <w:t> </w:t>
      </w:r>
      <w:r>
        <w:rPr>
          <w:rFonts w:ascii="仿宋_GB2312" w:eastAsia="仿宋_GB2312" w:hint="eastAsia"/>
          <w:sz w:val="32"/>
          <w:szCs w:val="32"/>
        </w:rPr>
        <w:t>对获得中国专利金奖项目奖励</w:t>
      </w:r>
      <w:r>
        <w:rPr>
          <w:sz w:val="32"/>
          <w:szCs w:val="32"/>
        </w:rPr>
        <w:t>10</w:t>
      </w:r>
      <w:r>
        <w:rPr>
          <w:rFonts w:ascii="仿宋_GB2312" w:eastAsia="仿宋_GB2312" w:hint="eastAsia"/>
          <w:sz w:val="32"/>
          <w:szCs w:val="32"/>
        </w:rPr>
        <w:t>万元，对获得天津市专利金奖项目奖励</w:t>
      </w:r>
      <w:r>
        <w:rPr>
          <w:sz w:val="32"/>
          <w:szCs w:val="32"/>
        </w:rPr>
        <w:t>5</w:t>
      </w:r>
      <w:r>
        <w:rPr>
          <w:rFonts w:ascii="仿宋_GB2312" w:eastAsia="仿宋_GB2312" w:hint="eastAsia"/>
          <w:sz w:val="32"/>
          <w:szCs w:val="32"/>
        </w:rPr>
        <w:t>万元</w:t>
      </w:r>
      <w:r>
        <w:rPr>
          <w:sz w:val="32"/>
          <w:szCs w:val="32"/>
        </w:rPr>
        <w:t>, </w:t>
      </w:r>
      <w:r>
        <w:rPr>
          <w:rFonts w:ascii="仿宋_GB2312" w:eastAsia="仿宋_GB2312" w:hint="eastAsia"/>
          <w:sz w:val="32"/>
          <w:szCs w:val="32"/>
        </w:rPr>
        <w:t>对获得天津市专利优秀奖、创业奖项目奖励</w:t>
      </w:r>
      <w:r>
        <w:rPr>
          <w:sz w:val="32"/>
          <w:szCs w:val="32"/>
        </w:rPr>
        <w:t>1</w:t>
      </w:r>
      <w:r>
        <w:rPr>
          <w:rFonts w:ascii="仿宋_GB2312" w:eastAsia="仿宋_GB2312" w:hint="eastAsia"/>
          <w:sz w:val="32"/>
          <w:szCs w:val="32"/>
        </w:rPr>
        <w:t>万元，由市知识产权局根据国家知识产权局发布的中国专利奖表彰通知和经市政府批准的天津市专利奖表彰通知一次性发放。其他项目具体标准由年度申报指南、依据项目计划签订的项目合同等文件另行规定。</w:t>
      </w:r>
    </w:p>
    <w:p w14:paraId="403B169F" w14:textId="77777777" w:rsidR="00760AB6" w:rsidRDefault="00760AB6" w:rsidP="00760AB6">
      <w:pPr>
        <w:pStyle w:val="a3"/>
        <w:spacing w:line="600" w:lineRule="atLeast"/>
        <w:ind w:firstLine="645"/>
      </w:pPr>
      <w:r>
        <w:rPr>
          <w:sz w:val="32"/>
          <w:szCs w:val="32"/>
        </w:rPr>
        <w:t> </w:t>
      </w:r>
    </w:p>
    <w:p w14:paraId="35DF97D2" w14:textId="77777777" w:rsidR="00760AB6" w:rsidRDefault="00760AB6" w:rsidP="00760AB6">
      <w:pPr>
        <w:pStyle w:val="a3"/>
        <w:spacing w:line="600" w:lineRule="atLeast"/>
        <w:ind w:firstLine="645"/>
        <w:jc w:val="center"/>
      </w:pPr>
      <w:r>
        <w:rPr>
          <w:rFonts w:ascii="黑体" w:eastAsia="黑体" w:hAnsi="黑体" w:hint="eastAsia"/>
          <w:sz w:val="32"/>
          <w:szCs w:val="32"/>
        </w:rPr>
        <w:lastRenderedPageBreak/>
        <w:t>第四章</w:t>
      </w:r>
      <w:r>
        <w:rPr>
          <w:sz w:val="32"/>
          <w:szCs w:val="32"/>
        </w:rPr>
        <w:t> </w:t>
      </w:r>
      <w:r>
        <w:rPr>
          <w:sz w:val="32"/>
          <w:szCs w:val="32"/>
        </w:rPr>
        <w:t> </w:t>
      </w:r>
      <w:r>
        <w:rPr>
          <w:rFonts w:ascii="黑体" w:eastAsia="黑体" w:hAnsi="黑体" w:hint="eastAsia"/>
          <w:sz w:val="32"/>
          <w:szCs w:val="32"/>
        </w:rPr>
        <w:t>项目申报</w:t>
      </w:r>
    </w:p>
    <w:p w14:paraId="5DD026C2" w14:textId="77777777" w:rsidR="00760AB6" w:rsidRDefault="00760AB6" w:rsidP="00760AB6">
      <w:pPr>
        <w:pStyle w:val="a3"/>
        <w:spacing w:line="600" w:lineRule="atLeast"/>
        <w:ind w:firstLine="645"/>
      </w:pPr>
      <w:r>
        <w:rPr>
          <w:rFonts w:ascii="黑体" w:eastAsia="黑体" w:hAnsi="黑体" w:hint="eastAsia"/>
          <w:sz w:val="32"/>
          <w:szCs w:val="32"/>
        </w:rPr>
        <w:t>第十条</w:t>
      </w:r>
      <w:r>
        <w:t> </w:t>
      </w:r>
      <w:r>
        <w:rPr>
          <w:rFonts w:ascii="仿宋_GB2312" w:eastAsia="仿宋_GB2312" w:hint="eastAsia"/>
          <w:sz w:val="32"/>
          <w:szCs w:val="32"/>
        </w:rPr>
        <w:t>市知识产权局根据国家及本市知识产权发展规划、产业发展重点和项目需求，于每年上半年发布当年知识产权资助项目申报通知，明确申报时间、申请条件、报送方式、受理部门等事项。</w:t>
      </w:r>
    </w:p>
    <w:p w14:paraId="156BC7A8" w14:textId="77777777" w:rsidR="00760AB6" w:rsidRDefault="00760AB6" w:rsidP="00760AB6">
      <w:pPr>
        <w:pStyle w:val="a3"/>
        <w:spacing w:line="600" w:lineRule="atLeast"/>
        <w:ind w:firstLine="645"/>
      </w:pPr>
      <w:r>
        <w:rPr>
          <w:rFonts w:ascii="黑体" w:eastAsia="黑体" w:hAnsi="黑体" w:hint="eastAsia"/>
          <w:sz w:val="32"/>
          <w:szCs w:val="32"/>
        </w:rPr>
        <w:t>第十一条</w:t>
      </w:r>
      <w:r>
        <w:t> </w:t>
      </w:r>
      <w:r>
        <w:rPr>
          <w:rFonts w:ascii="仿宋_GB2312" w:eastAsia="仿宋_GB2312" w:hint="eastAsia"/>
          <w:sz w:val="32"/>
          <w:szCs w:val="32"/>
        </w:rPr>
        <w:t>申报单位按照申报通知要求提交申请，一般包括以下材料：</w:t>
      </w:r>
    </w:p>
    <w:p w14:paraId="62D73013" w14:textId="77777777" w:rsidR="00760AB6" w:rsidRDefault="00760AB6" w:rsidP="00760AB6">
      <w:pPr>
        <w:pStyle w:val="a3"/>
        <w:spacing w:line="600" w:lineRule="atLeast"/>
        <w:ind w:firstLine="645"/>
      </w:pPr>
      <w:r>
        <w:rPr>
          <w:rFonts w:ascii="仿宋_GB2312" w:eastAsia="仿宋_GB2312" w:hint="eastAsia"/>
          <w:sz w:val="32"/>
          <w:szCs w:val="32"/>
        </w:rPr>
        <w:t>（一）资助项目申报书和实施方案。</w:t>
      </w:r>
    </w:p>
    <w:p w14:paraId="745C4402" w14:textId="77777777" w:rsidR="00760AB6" w:rsidRDefault="00760AB6" w:rsidP="00760AB6">
      <w:pPr>
        <w:pStyle w:val="a3"/>
        <w:spacing w:line="600" w:lineRule="atLeast"/>
        <w:ind w:firstLine="645"/>
      </w:pPr>
      <w:r>
        <w:rPr>
          <w:rFonts w:ascii="仿宋_GB2312" w:eastAsia="仿宋_GB2312" w:hint="eastAsia"/>
          <w:sz w:val="32"/>
          <w:szCs w:val="32"/>
        </w:rPr>
        <w:t>（二）资助项目需提供的证明材料。</w:t>
      </w:r>
    </w:p>
    <w:p w14:paraId="12A9EB47" w14:textId="77777777" w:rsidR="00760AB6" w:rsidRDefault="00760AB6" w:rsidP="00760AB6">
      <w:pPr>
        <w:pStyle w:val="a3"/>
        <w:spacing w:line="600" w:lineRule="atLeast"/>
        <w:ind w:firstLine="645"/>
      </w:pPr>
      <w:r>
        <w:rPr>
          <w:rFonts w:ascii="仿宋_GB2312" w:eastAsia="仿宋_GB2312" w:hint="eastAsia"/>
          <w:sz w:val="32"/>
          <w:szCs w:val="32"/>
        </w:rPr>
        <w:t>（三）其他申报材料。</w:t>
      </w:r>
    </w:p>
    <w:p w14:paraId="1BB3C1A9" w14:textId="77777777" w:rsidR="00760AB6" w:rsidRDefault="00760AB6" w:rsidP="00760AB6">
      <w:pPr>
        <w:pStyle w:val="a3"/>
        <w:spacing w:line="600" w:lineRule="atLeast"/>
        <w:ind w:firstLine="645"/>
      </w:pPr>
      <w:r>
        <w:rPr>
          <w:rFonts w:ascii="黑体" w:eastAsia="黑体" w:hAnsi="黑体" w:hint="eastAsia"/>
          <w:sz w:val="32"/>
          <w:szCs w:val="32"/>
        </w:rPr>
        <w:t>第十二条</w:t>
      </w:r>
      <w:r>
        <w:t> </w:t>
      </w:r>
      <w:r>
        <w:rPr>
          <w:rFonts w:ascii="仿宋_GB2312" w:eastAsia="仿宋_GB2312" w:hint="eastAsia"/>
          <w:sz w:val="32"/>
          <w:szCs w:val="32"/>
        </w:rPr>
        <w:t>项目申请和审核流程：</w:t>
      </w:r>
    </w:p>
    <w:p w14:paraId="5A193314" w14:textId="77777777" w:rsidR="00760AB6" w:rsidRDefault="00760AB6" w:rsidP="00760AB6">
      <w:pPr>
        <w:pStyle w:val="a3"/>
        <w:spacing w:line="600" w:lineRule="atLeast"/>
        <w:ind w:firstLine="645"/>
      </w:pPr>
      <w:r>
        <w:rPr>
          <w:rFonts w:ascii="仿宋_GB2312" w:eastAsia="仿宋_GB2312" w:hint="eastAsia"/>
          <w:sz w:val="32"/>
          <w:szCs w:val="32"/>
        </w:rPr>
        <w:t>（一）申报单位按照申报通知要求，在规定时限内将申报材料报送本单位注册地所属区知识产权局或市知识产权局。逾期未提交申报材料的视为放弃。</w:t>
      </w:r>
    </w:p>
    <w:p w14:paraId="13C9796F" w14:textId="77777777" w:rsidR="00760AB6" w:rsidRDefault="00760AB6" w:rsidP="00760AB6">
      <w:pPr>
        <w:pStyle w:val="a3"/>
        <w:spacing w:line="600" w:lineRule="atLeast"/>
        <w:ind w:firstLine="645"/>
      </w:pPr>
      <w:r>
        <w:rPr>
          <w:rFonts w:ascii="仿宋_GB2312" w:eastAsia="仿宋_GB2312" w:hint="eastAsia"/>
          <w:sz w:val="32"/>
          <w:szCs w:val="32"/>
        </w:rPr>
        <w:t>（二）各区知识产权局受理项目申请后进行审核、推荐，在规定时限内报送市知识产权局。</w:t>
      </w:r>
    </w:p>
    <w:p w14:paraId="334451C5" w14:textId="77777777" w:rsidR="00760AB6" w:rsidRDefault="00760AB6" w:rsidP="00760AB6">
      <w:pPr>
        <w:pStyle w:val="a3"/>
        <w:spacing w:line="600" w:lineRule="atLeast"/>
        <w:ind w:firstLine="645"/>
      </w:pPr>
      <w:r>
        <w:rPr>
          <w:rFonts w:ascii="仿宋_GB2312" w:eastAsia="仿宋_GB2312" w:hint="eastAsia"/>
          <w:sz w:val="32"/>
          <w:szCs w:val="32"/>
        </w:rPr>
        <w:lastRenderedPageBreak/>
        <w:t>（三）市知识产权局委托社会机构组织专家对项目进行评审，提出评审意见，在规定时限内报送市知识产权局。</w:t>
      </w:r>
    </w:p>
    <w:p w14:paraId="5F01C01E" w14:textId="77777777" w:rsidR="00760AB6" w:rsidRDefault="00760AB6" w:rsidP="00760AB6">
      <w:pPr>
        <w:pStyle w:val="a3"/>
        <w:spacing w:line="600" w:lineRule="atLeast"/>
        <w:ind w:firstLine="645"/>
      </w:pPr>
      <w:r>
        <w:rPr>
          <w:rFonts w:ascii="仿宋_GB2312" w:eastAsia="仿宋_GB2312" w:hint="eastAsia"/>
          <w:sz w:val="32"/>
          <w:szCs w:val="32"/>
        </w:rPr>
        <w:t>（四）市知识产权局根据评审结果确定资助项目单位，向社会公示。对于公示期间被提出异议的项目单位，由市知识产权局进行再次审核，并及时将审核结果和依据向提出异议方反馈。</w:t>
      </w:r>
    </w:p>
    <w:p w14:paraId="613418A9" w14:textId="77777777" w:rsidR="00760AB6" w:rsidRDefault="00760AB6" w:rsidP="00760AB6">
      <w:pPr>
        <w:pStyle w:val="a3"/>
        <w:spacing w:line="600" w:lineRule="atLeast"/>
        <w:ind w:firstLine="645"/>
      </w:pPr>
      <w:r>
        <w:rPr>
          <w:rFonts w:ascii="仿宋_GB2312" w:eastAsia="仿宋_GB2312" w:hint="eastAsia"/>
          <w:sz w:val="32"/>
          <w:szCs w:val="32"/>
        </w:rPr>
        <w:t>（五）公示无异议或异议不成立的，市知识产权局向市财政局提交资助项目资金申请和相关材料。</w:t>
      </w:r>
    </w:p>
    <w:p w14:paraId="26A2FC77" w14:textId="77777777" w:rsidR="00760AB6" w:rsidRDefault="00760AB6" w:rsidP="00760AB6">
      <w:pPr>
        <w:pStyle w:val="a3"/>
        <w:shd w:val="clear" w:color="auto" w:fill="FFFFFF"/>
        <w:spacing w:before="0" w:beforeAutospacing="0" w:after="0" w:afterAutospacing="0" w:line="600" w:lineRule="atLeast"/>
        <w:ind w:firstLine="645"/>
        <w:jc w:val="both"/>
      </w:pPr>
      <w:r>
        <w:rPr>
          <w:rFonts w:ascii="黑体" w:eastAsia="黑体" w:hAnsi="黑体" w:hint="eastAsia"/>
          <w:sz w:val="32"/>
          <w:szCs w:val="32"/>
        </w:rPr>
        <w:t>第十三条</w:t>
      </w:r>
      <w:r>
        <w:t> </w:t>
      </w:r>
      <w:r>
        <w:rPr>
          <w:rFonts w:ascii="仿宋_GB2312" w:eastAsia="仿宋_GB2312" w:hint="eastAsia"/>
          <w:sz w:val="32"/>
          <w:szCs w:val="32"/>
        </w:rPr>
        <w:t>凡符合条件的申请单位均可按照相关规定和申报指南的要求提交申请，并按规定报送项目申报材料。申请单位应确保申报事项的准确性、完整性、真实性和有效性，不得弄虚作假、套取、骗取专项资金。</w:t>
      </w:r>
    </w:p>
    <w:p w14:paraId="55BC1860" w14:textId="77777777" w:rsidR="00760AB6" w:rsidRDefault="00760AB6" w:rsidP="00760AB6">
      <w:pPr>
        <w:pStyle w:val="a3"/>
        <w:spacing w:line="600" w:lineRule="atLeast"/>
        <w:ind w:firstLine="645"/>
      </w:pPr>
      <w:r>
        <w:rPr>
          <w:rFonts w:ascii="黑体" w:eastAsia="黑体" w:hAnsi="黑体" w:hint="eastAsia"/>
          <w:sz w:val="32"/>
          <w:szCs w:val="32"/>
        </w:rPr>
        <w:t>第十四条</w:t>
      </w:r>
      <w:r>
        <w:t> </w:t>
      </w:r>
      <w:r>
        <w:rPr>
          <w:rFonts w:ascii="仿宋_GB2312" w:eastAsia="仿宋_GB2312" w:hint="eastAsia"/>
          <w:sz w:val="32"/>
          <w:szCs w:val="32"/>
        </w:rPr>
        <w:t>市知识产权局组织项目评审所需经费，根据项目管理和专项资金管理工作需要，可在专项资金中列支。</w:t>
      </w:r>
    </w:p>
    <w:p w14:paraId="2C000F17" w14:textId="77777777" w:rsidR="00760AB6" w:rsidRDefault="00760AB6" w:rsidP="00760AB6">
      <w:pPr>
        <w:pStyle w:val="a3"/>
        <w:spacing w:line="600" w:lineRule="atLeast"/>
        <w:ind w:firstLine="645"/>
      </w:pPr>
      <w:r>
        <w:rPr>
          <w:sz w:val="32"/>
          <w:szCs w:val="32"/>
        </w:rPr>
        <w:t> </w:t>
      </w:r>
    </w:p>
    <w:p w14:paraId="194FB4A2" w14:textId="77777777" w:rsidR="00760AB6" w:rsidRDefault="00760AB6" w:rsidP="00760AB6">
      <w:pPr>
        <w:pStyle w:val="a3"/>
        <w:spacing w:line="600" w:lineRule="atLeast"/>
        <w:jc w:val="center"/>
      </w:pPr>
      <w:r>
        <w:rPr>
          <w:rFonts w:ascii="黑体" w:eastAsia="黑体" w:hAnsi="黑体" w:hint="eastAsia"/>
          <w:sz w:val="32"/>
          <w:szCs w:val="32"/>
        </w:rPr>
        <w:t>第五章</w:t>
      </w:r>
      <w:r>
        <w:rPr>
          <w:sz w:val="32"/>
          <w:szCs w:val="32"/>
        </w:rPr>
        <w:t> </w:t>
      </w:r>
      <w:r>
        <w:rPr>
          <w:sz w:val="32"/>
          <w:szCs w:val="32"/>
        </w:rPr>
        <w:t> </w:t>
      </w:r>
      <w:r>
        <w:rPr>
          <w:rFonts w:ascii="黑体" w:eastAsia="黑体" w:hAnsi="黑体" w:hint="eastAsia"/>
          <w:sz w:val="32"/>
          <w:szCs w:val="32"/>
        </w:rPr>
        <w:t>资金拨付及管理</w:t>
      </w:r>
    </w:p>
    <w:p w14:paraId="21D16513" w14:textId="77777777" w:rsidR="00760AB6" w:rsidRDefault="00760AB6" w:rsidP="00760AB6">
      <w:pPr>
        <w:pStyle w:val="a3"/>
        <w:shd w:val="clear" w:color="auto" w:fill="FFFFFF"/>
        <w:spacing w:before="0" w:beforeAutospacing="0" w:after="0" w:afterAutospacing="0" w:line="600" w:lineRule="atLeast"/>
        <w:ind w:firstLine="645"/>
        <w:jc w:val="both"/>
      </w:pPr>
      <w:r>
        <w:rPr>
          <w:rFonts w:ascii="黑体" w:eastAsia="黑体" w:hAnsi="黑体" w:hint="eastAsia"/>
          <w:sz w:val="32"/>
          <w:szCs w:val="32"/>
        </w:rPr>
        <w:lastRenderedPageBreak/>
        <w:t>第十五条</w:t>
      </w:r>
      <w:r>
        <w:t> </w:t>
      </w:r>
      <w:r>
        <w:rPr>
          <w:rFonts w:ascii="仿宋_GB2312" w:eastAsia="仿宋_GB2312" w:hint="eastAsia"/>
          <w:sz w:val="32"/>
          <w:szCs w:val="32"/>
        </w:rPr>
        <w:t>市财政局根据市知识产权局确定的资金分配计划和相关材料，确定资助项目预算，并按照预算管理等有关规定，及时批复资金预算。</w:t>
      </w:r>
    </w:p>
    <w:p w14:paraId="791F428C" w14:textId="77777777" w:rsidR="00760AB6" w:rsidRDefault="00760AB6" w:rsidP="00760AB6">
      <w:pPr>
        <w:pStyle w:val="a3"/>
        <w:shd w:val="clear" w:color="auto" w:fill="FFFFFF"/>
        <w:spacing w:before="0" w:beforeAutospacing="0" w:after="0" w:afterAutospacing="0" w:line="600" w:lineRule="atLeast"/>
        <w:ind w:firstLine="645"/>
        <w:jc w:val="both"/>
      </w:pPr>
      <w:r>
        <w:rPr>
          <w:rFonts w:ascii="黑体" w:eastAsia="黑体" w:hAnsi="黑体" w:hint="eastAsia"/>
          <w:sz w:val="32"/>
          <w:szCs w:val="32"/>
        </w:rPr>
        <w:t>第十六条</w:t>
      </w:r>
      <w:r>
        <w:t> </w:t>
      </w:r>
      <w:r>
        <w:rPr>
          <w:rFonts w:ascii="仿宋_GB2312" w:eastAsia="仿宋_GB2312" w:hint="eastAsia"/>
          <w:sz w:val="32"/>
          <w:szCs w:val="32"/>
        </w:rPr>
        <w:t>专项资金预算一经批复，应严格执行，原则上不予调整。因特殊情况确需调整的，市知识产权局提出审核意见，报市财政局审核。</w:t>
      </w:r>
    </w:p>
    <w:p w14:paraId="3F48DAFD" w14:textId="77777777" w:rsidR="00760AB6" w:rsidRDefault="00760AB6" w:rsidP="00760AB6">
      <w:pPr>
        <w:pStyle w:val="a3"/>
        <w:spacing w:line="600" w:lineRule="atLeast"/>
        <w:ind w:firstLine="645"/>
      </w:pPr>
      <w:r>
        <w:rPr>
          <w:rFonts w:ascii="黑体" w:eastAsia="黑体" w:hAnsi="黑体" w:hint="eastAsia"/>
          <w:sz w:val="32"/>
          <w:szCs w:val="32"/>
        </w:rPr>
        <w:t>第十七条</w:t>
      </w:r>
      <w:r>
        <w:t> </w:t>
      </w:r>
      <w:r>
        <w:rPr>
          <w:rFonts w:ascii="仿宋_GB2312" w:eastAsia="仿宋_GB2312" w:hint="eastAsia"/>
          <w:sz w:val="32"/>
          <w:szCs w:val="32"/>
        </w:rPr>
        <w:t>专项资金应当纳入单位财务统一核算，按照国家和我市有关财务管理规定进行管理，专款专用，并自觉接受财政、发展改革、审计等部门的监督检查。</w:t>
      </w:r>
    </w:p>
    <w:p w14:paraId="6905E590" w14:textId="77777777" w:rsidR="00760AB6" w:rsidRDefault="00760AB6" w:rsidP="00760AB6">
      <w:pPr>
        <w:pStyle w:val="a3"/>
        <w:spacing w:line="600" w:lineRule="atLeast"/>
        <w:ind w:firstLine="645"/>
      </w:pPr>
      <w:r>
        <w:rPr>
          <w:rFonts w:ascii="黑体" w:eastAsia="黑体" w:hAnsi="黑体" w:hint="eastAsia"/>
          <w:sz w:val="32"/>
          <w:szCs w:val="32"/>
        </w:rPr>
        <w:t>第十八条</w:t>
      </w:r>
      <w:r>
        <w:t> </w:t>
      </w:r>
      <w:r>
        <w:rPr>
          <w:rFonts w:ascii="仿宋_GB2312" w:eastAsia="仿宋_GB2312" w:hint="eastAsia"/>
          <w:sz w:val="32"/>
          <w:szCs w:val="32"/>
        </w:rPr>
        <w:t>专项资金使用过程中涉及政府采购的，应按照政府采购法律制度规定执行。专项资金购置形成的固定资产属于国有资产的，应当按照国家国有资产管理有关规定办理，防止国有资产流失。</w:t>
      </w:r>
    </w:p>
    <w:p w14:paraId="2244B45C" w14:textId="77777777" w:rsidR="00760AB6" w:rsidRDefault="00760AB6" w:rsidP="00760AB6">
      <w:pPr>
        <w:pStyle w:val="a3"/>
        <w:spacing w:line="600" w:lineRule="atLeast"/>
        <w:ind w:firstLine="645"/>
      </w:pPr>
      <w:r>
        <w:rPr>
          <w:rFonts w:ascii="黑体" w:eastAsia="黑体" w:hAnsi="黑体" w:hint="eastAsia"/>
          <w:sz w:val="32"/>
          <w:szCs w:val="32"/>
        </w:rPr>
        <w:t>第十九条</w:t>
      </w:r>
      <w:r>
        <w:t> </w:t>
      </w:r>
      <w:r>
        <w:rPr>
          <w:rFonts w:ascii="仿宋_GB2312" w:eastAsia="仿宋_GB2312" w:hint="eastAsia"/>
          <w:sz w:val="32"/>
          <w:szCs w:val="32"/>
        </w:rPr>
        <w:t>专项资金形成的结转结余，按照国家及我市结转和结余资金管理有关规定执行。</w:t>
      </w:r>
    </w:p>
    <w:p w14:paraId="40C7E83E" w14:textId="77777777" w:rsidR="00760AB6" w:rsidRDefault="00760AB6" w:rsidP="00760AB6">
      <w:pPr>
        <w:pStyle w:val="a3"/>
        <w:spacing w:line="600" w:lineRule="atLeast"/>
        <w:ind w:firstLine="645"/>
      </w:pPr>
      <w:r>
        <w:rPr>
          <w:rFonts w:ascii="黑体" w:eastAsia="黑体" w:hAnsi="黑体" w:hint="eastAsia"/>
          <w:sz w:val="32"/>
          <w:szCs w:val="32"/>
        </w:rPr>
        <w:t>第二十条</w:t>
      </w:r>
      <w:r>
        <w:t> </w:t>
      </w:r>
      <w:r>
        <w:rPr>
          <w:rFonts w:ascii="仿宋_GB2312" w:eastAsia="仿宋_GB2312" w:hint="eastAsia"/>
          <w:sz w:val="32"/>
          <w:szCs w:val="32"/>
        </w:rPr>
        <w:t>项目单位应当按照国家和我市档案管理有关规定妥善保管申请和审核材料，以备核查。</w:t>
      </w:r>
    </w:p>
    <w:p w14:paraId="50255C8D" w14:textId="77777777" w:rsidR="00760AB6" w:rsidRDefault="00760AB6" w:rsidP="00760AB6">
      <w:pPr>
        <w:pStyle w:val="a3"/>
        <w:spacing w:line="600" w:lineRule="atLeast"/>
        <w:ind w:firstLine="2565"/>
      </w:pPr>
      <w:r>
        <w:rPr>
          <w:sz w:val="32"/>
          <w:szCs w:val="32"/>
        </w:rPr>
        <w:t> </w:t>
      </w:r>
    </w:p>
    <w:p w14:paraId="445C78BF" w14:textId="14DCB741" w:rsidR="00760AB6" w:rsidRDefault="00760AB6" w:rsidP="00760AB6">
      <w:pPr>
        <w:pStyle w:val="a3"/>
        <w:spacing w:line="600" w:lineRule="atLeast"/>
        <w:jc w:val="center"/>
      </w:pPr>
      <w:r>
        <w:rPr>
          <w:rFonts w:ascii="黑体" w:eastAsia="黑体" w:hAnsi="黑体" w:hint="eastAsia"/>
          <w:sz w:val="32"/>
          <w:szCs w:val="32"/>
        </w:rPr>
        <w:t>第六章</w:t>
      </w:r>
      <w:r>
        <w:rPr>
          <w:sz w:val="32"/>
          <w:szCs w:val="32"/>
        </w:rPr>
        <w:t> </w:t>
      </w:r>
      <w:r>
        <w:rPr>
          <w:sz w:val="32"/>
          <w:szCs w:val="32"/>
        </w:rPr>
        <w:t> </w:t>
      </w:r>
      <w:r>
        <w:rPr>
          <w:rFonts w:ascii="黑体" w:eastAsia="黑体" w:hAnsi="黑体" w:hint="eastAsia"/>
          <w:sz w:val="32"/>
          <w:szCs w:val="32"/>
        </w:rPr>
        <w:t>项目验收和监管</w:t>
      </w:r>
    </w:p>
    <w:p w14:paraId="2A9103F7" w14:textId="77777777" w:rsidR="00760AB6" w:rsidRDefault="00760AB6" w:rsidP="00760AB6">
      <w:pPr>
        <w:pStyle w:val="a3"/>
        <w:spacing w:line="600" w:lineRule="atLeast"/>
        <w:ind w:firstLine="645"/>
      </w:pPr>
      <w:r>
        <w:rPr>
          <w:rFonts w:ascii="黑体" w:eastAsia="黑体" w:hAnsi="黑体" w:hint="eastAsia"/>
          <w:sz w:val="32"/>
          <w:szCs w:val="32"/>
        </w:rPr>
        <w:lastRenderedPageBreak/>
        <w:t>第二十一条</w:t>
      </w:r>
      <w:r>
        <w:t> </w:t>
      </w:r>
      <w:r>
        <w:rPr>
          <w:rFonts w:ascii="仿宋_GB2312" w:eastAsia="仿宋_GB2312" w:hint="eastAsia"/>
          <w:sz w:val="32"/>
          <w:szCs w:val="32"/>
        </w:rPr>
        <w:t>市知识产权局负责按规定组织对专项资金的监督检查，及时发现和纠正存在问题。按照</w:t>
      </w:r>
      <w:r>
        <w:rPr>
          <w:sz w:val="32"/>
          <w:szCs w:val="32"/>
        </w:rPr>
        <w:t>“</w:t>
      </w:r>
      <w:r>
        <w:rPr>
          <w:rFonts w:ascii="仿宋_GB2312" w:eastAsia="仿宋_GB2312" w:hint="eastAsia"/>
          <w:sz w:val="32"/>
          <w:szCs w:val="32"/>
        </w:rPr>
        <w:t>谁申请、谁管理，谁使用、谁负责</w:t>
      </w:r>
      <w:r>
        <w:rPr>
          <w:sz w:val="32"/>
          <w:szCs w:val="32"/>
        </w:rPr>
        <w:t>”</w:t>
      </w:r>
      <w:r>
        <w:rPr>
          <w:rFonts w:ascii="仿宋_GB2312" w:eastAsia="仿宋_GB2312" w:hint="eastAsia"/>
          <w:sz w:val="32"/>
          <w:szCs w:val="32"/>
        </w:rPr>
        <w:t>的原则，落实项目管理和资金使用主体责任，确保项目实施规范有序、资金使用安全有效。对合同制管理的专项项目，申请对象应按合同约定期限向市知识产权局报告项目进展情况和资金使用情况。对不能按期完成或未达到预期目标的项目，市知识产权局提出明确处理意见。对需撤销立项的项目，市知识产权局及时下达撤项通知，组织收回专项资金，交回市财政局统筹使用。</w:t>
      </w:r>
    </w:p>
    <w:p w14:paraId="1851E6A3" w14:textId="77777777" w:rsidR="00760AB6" w:rsidRDefault="00760AB6" w:rsidP="00760AB6">
      <w:pPr>
        <w:pStyle w:val="a3"/>
        <w:spacing w:line="600" w:lineRule="atLeast"/>
        <w:ind w:firstLine="645"/>
      </w:pPr>
      <w:r>
        <w:rPr>
          <w:rFonts w:ascii="黑体" w:eastAsia="黑体" w:hAnsi="黑体" w:hint="eastAsia"/>
          <w:sz w:val="32"/>
          <w:szCs w:val="32"/>
        </w:rPr>
        <w:t>第二十二条</w:t>
      </w:r>
      <w:r>
        <w:t> </w:t>
      </w:r>
      <w:r>
        <w:rPr>
          <w:rFonts w:ascii="仿宋_GB2312" w:eastAsia="仿宋_GB2312" w:hint="eastAsia"/>
          <w:sz w:val="32"/>
          <w:szCs w:val="32"/>
        </w:rPr>
        <w:t>专项资金实行全过程预算绩效管理。市知识产权局按照本市预算绩效管理规定，按规定编制绩效目标，做好绩效运行监控，组织开展绩效自评和部门评价，强化评价结果应用和信息公开。市知识产权局和市财政局可按照有关规定委托第三方机构参与预算绩效管理工作。</w:t>
      </w:r>
    </w:p>
    <w:p w14:paraId="1909AEC5" w14:textId="77777777" w:rsidR="00760AB6" w:rsidRDefault="00760AB6" w:rsidP="00760AB6">
      <w:pPr>
        <w:pStyle w:val="a3"/>
        <w:spacing w:line="600" w:lineRule="atLeast"/>
        <w:ind w:firstLine="645"/>
      </w:pPr>
      <w:r>
        <w:rPr>
          <w:rFonts w:ascii="黑体" w:eastAsia="黑体" w:hAnsi="黑体" w:hint="eastAsia"/>
          <w:sz w:val="32"/>
          <w:szCs w:val="32"/>
        </w:rPr>
        <w:t>第二十三条</w:t>
      </w:r>
      <w:r>
        <w:t> </w:t>
      </w:r>
      <w:r>
        <w:rPr>
          <w:rFonts w:ascii="仿宋_GB2312" w:eastAsia="仿宋_GB2312" w:hint="eastAsia"/>
          <w:sz w:val="32"/>
          <w:szCs w:val="32"/>
        </w:rPr>
        <w:t>各区知识产权主管部门按职责分工加强项目的跟踪服务和日常管理，对项目实施过程中存在的问题，应及时报告市知识产权局、市财政局。</w:t>
      </w:r>
    </w:p>
    <w:p w14:paraId="23826DD8" w14:textId="77777777" w:rsidR="00760AB6" w:rsidRDefault="00760AB6" w:rsidP="00760AB6">
      <w:pPr>
        <w:pStyle w:val="a3"/>
        <w:spacing w:line="600" w:lineRule="atLeast"/>
        <w:ind w:firstLine="645"/>
      </w:pPr>
      <w:r>
        <w:rPr>
          <w:rFonts w:ascii="黑体" w:eastAsia="黑体" w:hAnsi="黑体" w:hint="eastAsia"/>
          <w:sz w:val="32"/>
          <w:szCs w:val="32"/>
        </w:rPr>
        <w:t>第二十四条</w:t>
      </w:r>
      <w:r>
        <w:t> </w:t>
      </w:r>
      <w:r>
        <w:rPr>
          <w:rFonts w:ascii="仿宋_GB2312" w:eastAsia="仿宋_GB2312" w:hint="eastAsia"/>
          <w:sz w:val="32"/>
          <w:szCs w:val="32"/>
        </w:rPr>
        <w:t>对虚假申报、违反规定使用、骗取专项资金等违法违纪的行为，依照相应法律法规处理，</w:t>
      </w:r>
      <w:proofErr w:type="gramStart"/>
      <w:r>
        <w:rPr>
          <w:rFonts w:ascii="仿宋_GB2312" w:eastAsia="仿宋_GB2312" w:hint="eastAsia"/>
          <w:sz w:val="32"/>
          <w:szCs w:val="32"/>
        </w:rPr>
        <w:t>追回专项</w:t>
      </w:r>
      <w:proofErr w:type="gramEnd"/>
      <w:r>
        <w:rPr>
          <w:rFonts w:ascii="仿宋_GB2312" w:eastAsia="仿宋_GB2312" w:hint="eastAsia"/>
          <w:sz w:val="32"/>
          <w:szCs w:val="32"/>
        </w:rPr>
        <w:t>资金。对骗取专项资金的项目申报单位，三年内停止其专</w:t>
      </w:r>
      <w:r>
        <w:rPr>
          <w:rFonts w:ascii="仿宋_GB2312" w:eastAsia="仿宋_GB2312" w:hint="eastAsia"/>
          <w:sz w:val="32"/>
          <w:szCs w:val="32"/>
        </w:rPr>
        <w:lastRenderedPageBreak/>
        <w:t>项资金申报资格，并向社会公开其不良信用信息，涉嫌犯罪的，依法移送司法机关处理。</w:t>
      </w:r>
    </w:p>
    <w:p w14:paraId="5DBCCCBC" w14:textId="77777777" w:rsidR="00760AB6" w:rsidRDefault="00760AB6" w:rsidP="00760AB6">
      <w:pPr>
        <w:pStyle w:val="a3"/>
        <w:spacing w:line="600" w:lineRule="atLeast"/>
        <w:ind w:firstLine="645"/>
      </w:pPr>
      <w:r>
        <w:rPr>
          <w:rFonts w:ascii="黑体" w:eastAsia="黑体" w:hAnsi="黑体" w:hint="eastAsia"/>
          <w:sz w:val="32"/>
          <w:szCs w:val="32"/>
        </w:rPr>
        <w:t>第二十五条</w:t>
      </w:r>
      <w:r>
        <w:t> </w:t>
      </w:r>
      <w:r>
        <w:rPr>
          <w:rFonts w:ascii="仿宋_GB2312" w:eastAsia="仿宋_GB2312" w:hint="eastAsia"/>
          <w:sz w:val="32"/>
          <w:szCs w:val="32"/>
        </w:rPr>
        <w:t>知识产权部门及其工作人员在专项资金的分配、审核工作中，存在违反规定分配资金、向不符合条件的单位</w:t>
      </w:r>
      <w:r>
        <w:rPr>
          <w:sz w:val="32"/>
          <w:szCs w:val="32"/>
        </w:rPr>
        <w:t>(</w:t>
      </w:r>
      <w:r>
        <w:rPr>
          <w:rFonts w:ascii="仿宋_GB2312" w:eastAsia="仿宋_GB2312" w:hint="eastAsia"/>
          <w:sz w:val="32"/>
          <w:szCs w:val="32"/>
        </w:rPr>
        <w:t>或项目</w:t>
      </w:r>
      <w:r>
        <w:rPr>
          <w:sz w:val="32"/>
          <w:szCs w:val="32"/>
        </w:rPr>
        <w:t>)</w:t>
      </w:r>
      <w:r>
        <w:rPr>
          <w:rFonts w:ascii="仿宋_GB2312" w:eastAsia="仿宋_GB2312" w:hint="eastAsia"/>
          <w:sz w:val="32"/>
          <w:szCs w:val="32"/>
        </w:rPr>
        <w:t>分配资金或者擅自超出规定的范围或者标准分配或使用资金，以及其他滥用职权、玩忽职守、徇私舞弊等违法违纪行为的，按照《中华人民共和国预算法》《中华人民共和国公务员法》《中华人民共和国监察法》《财政违法行为处罚处分条例》等法律法规和国家有关规定追究相应责任；涉嫌犯罪的，依法移送司法机关处理。</w:t>
      </w:r>
    </w:p>
    <w:p w14:paraId="2F073D43" w14:textId="77777777" w:rsidR="00760AB6" w:rsidRDefault="00760AB6" w:rsidP="00760AB6">
      <w:pPr>
        <w:pStyle w:val="a3"/>
        <w:spacing w:line="600" w:lineRule="atLeast"/>
        <w:ind w:firstLine="645"/>
        <w:jc w:val="both"/>
      </w:pPr>
      <w:r>
        <w:rPr>
          <w:rFonts w:ascii="黑体" w:eastAsia="黑体" w:hAnsi="黑体" w:hint="eastAsia"/>
          <w:sz w:val="32"/>
          <w:szCs w:val="32"/>
        </w:rPr>
        <w:t>第二十六条</w:t>
      </w:r>
      <w:r>
        <w:t> </w:t>
      </w:r>
      <w:r>
        <w:rPr>
          <w:rFonts w:ascii="仿宋_GB2312" w:eastAsia="仿宋_GB2312" w:hint="eastAsia"/>
          <w:sz w:val="32"/>
          <w:szCs w:val="32"/>
        </w:rPr>
        <w:t>区级知识产权、财政部门可结合本区实际，参考本办法制定本区实施办法，为知识产权工作开展提供支持保障。</w:t>
      </w:r>
      <w:r>
        <w:rPr>
          <w:sz w:val="32"/>
          <w:szCs w:val="32"/>
        </w:rPr>
        <w:t> </w:t>
      </w:r>
    </w:p>
    <w:p w14:paraId="43C5FB92" w14:textId="77777777" w:rsidR="00760AB6" w:rsidRDefault="00760AB6" w:rsidP="00760AB6">
      <w:pPr>
        <w:pStyle w:val="a3"/>
        <w:spacing w:line="600" w:lineRule="atLeast"/>
        <w:jc w:val="center"/>
      </w:pPr>
      <w:r>
        <w:rPr>
          <w:rFonts w:ascii="黑体" w:eastAsia="黑体" w:hAnsi="黑体" w:hint="eastAsia"/>
          <w:sz w:val="32"/>
          <w:szCs w:val="32"/>
        </w:rPr>
        <w:t>第七章</w:t>
      </w:r>
      <w:r>
        <w:rPr>
          <w:sz w:val="32"/>
          <w:szCs w:val="32"/>
        </w:rPr>
        <w:t> </w:t>
      </w:r>
      <w:r>
        <w:rPr>
          <w:sz w:val="32"/>
          <w:szCs w:val="32"/>
        </w:rPr>
        <w:t> </w:t>
      </w:r>
      <w:r>
        <w:rPr>
          <w:rFonts w:ascii="黑体" w:eastAsia="黑体" w:hAnsi="黑体" w:hint="eastAsia"/>
          <w:sz w:val="32"/>
          <w:szCs w:val="32"/>
        </w:rPr>
        <w:t>附则</w:t>
      </w:r>
    </w:p>
    <w:p w14:paraId="1D50EDC7" w14:textId="77777777" w:rsidR="00760AB6" w:rsidRDefault="00760AB6" w:rsidP="00760AB6">
      <w:pPr>
        <w:pStyle w:val="a3"/>
        <w:spacing w:line="600" w:lineRule="atLeast"/>
        <w:ind w:firstLine="645"/>
        <w:jc w:val="both"/>
      </w:pPr>
      <w:r>
        <w:rPr>
          <w:rFonts w:ascii="黑体" w:eastAsia="黑体" w:hAnsi="黑体" w:hint="eastAsia"/>
          <w:sz w:val="32"/>
          <w:szCs w:val="32"/>
        </w:rPr>
        <w:t>第二十七条</w:t>
      </w:r>
      <w:r>
        <w:t> </w:t>
      </w:r>
      <w:r>
        <w:rPr>
          <w:rFonts w:ascii="仿宋_GB2312" w:eastAsia="仿宋_GB2312" w:hint="eastAsia"/>
          <w:sz w:val="32"/>
          <w:szCs w:val="32"/>
        </w:rPr>
        <w:t>本办法由市知识产权局会同市财政局负责解释。自印发之日起施行，有效期</w:t>
      </w:r>
      <w:r>
        <w:rPr>
          <w:sz w:val="32"/>
          <w:szCs w:val="32"/>
        </w:rPr>
        <w:t>5</w:t>
      </w:r>
      <w:r>
        <w:rPr>
          <w:rFonts w:ascii="仿宋_GB2312" w:eastAsia="仿宋_GB2312" w:hint="eastAsia"/>
          <w:sz w:val="32"/>
          <w:szCs w:val="32"/>
        </w:rPr>
        <w:t>年。原《天津市知识产权资金管理暂行办法》（</w:t>
      </w:r>
      <w:proofErr w:type="gramStart"/>
      <w:r>
        <w:rPr>
          <w:rFonts w:ascii="仿宋_GB2312" w:eastAsia="仿宋_GB2312" w:hint="eastAsia"/>
          <w:sz w:val="32"/>
          <w:szCs w:val="32"/>
        </w:rPr>
        <w:t>津财建一</w:t>
      </w:r>
      <w:proofErr w:type="gramEnd"/>
      <w:r>
        <w:rPr>
          <w:rFonts w:ascii="仿宋_GB2312" w:eastAsia="仿宋_GB2312" w:hint="eastAsia"/>
          <w:sz w:val="32"/>
          <w:szCs w:val="32"/>
        </w:rPr>
        <w:t>〔</w:t>
      </w:r>
      <w:r>
        <w:rPr>
          <w:sz w:val="32"/>
          <w:szCs w:val="32"/>
        </w:rPr>
        <w:t>2016</w:t>
      </w:r>
      <w:r>
        <w:rPr>
          <w:rFonts w:ascii="仿宋_GB2312" w:eastAsia="仿宋_GB2312" w:hint="eastAsia"/>
          <w:sz w:val="32"/>
          <w:szCs w:val="32"/>
        </w:rPr>
        <w:t>〕</w:t>
      </w:r>
      <w:r>
        <w:rPr>
          <w:sz w:val="32"/>
          <w:szCs w:val="32"/>
        </w:rPr>
        <w:t>28</w:t>
      </w:r>
      <w:r>
        <w:rPr>
          <w:rFonts w:ascii="仿宋_GB2312" w:eastAsia="仿宋_GB2312" w:hint="eastAsia"/>
          <w:sz w:val="32"/>
          <w:szCs w:val="32"/>
        </w:rPr>
        <w:t>号）同时废止。</w:t>
      </w:r>
    </w:p>
    <w:p w14:paraId="75486D93" w14:textId="1FB255A3" w:rsidR="00A12355" w:rsidRPr="00760AB6" w:rsidRDefault="00000000"/>
    <w:sectPr w:rsidR="00A12355" w:rsidRPr="00760AB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083B"/>
    <w:rsid w:val="00434F99"/>
    <w:rsid w:val="00683C47"/>
    <w:rsid w:val="007542EF"/>
    <w:rsid w:val="00760AB6"/>
    <w:rsid w:val="009229C2"/>
    <w:rsid w:val="009F083B"/>
    <w:rsid w:val="00C75B92"/>
    <w:rsid w:val="00DA4A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1AE44A"/>
  <w15:chartTrackingRefBased/>
  <w15:docId w15:val="{51248813-B950-4165-B76E-5902C36DF9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7542EF"/>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760AB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3100156">
      <w:bodyDiv w:val="1"/>
      <w:marLeft w:val="0"/>
      <w:marRight w:val="0"/>
      <w:marTop w:val="0"/>
      <w:marBottom w:val="0"/>
      <w:divBdr>
        <w:top w:val="none" w:sz="0" w:space="0" w:color="auto"/>
        <w:left w:val="none" w:sz="0" w:space="0" w:color="auto"/>
        <w:bottom w:val="none" w:sz="0" w:space="0" w:color="auto"/>
        <w:right w:val="none" w:sz="0" w:space="0" w:color="auto"/>
      </w:divBdr>
    </w:div>
    <w:div w:id="611402996">
      <w:bodyDiv w:val="1"/>
      <w:marLeft w:val="0"/>
      <w:marRight w:val="0"/>
      <w:marTop w:val="0"/>
      <w:marBottom w:val="0"/>
      <w:divBdr>
        <w:top w:val="none" w:sz="0" w:space="0" w:color="auto"/>
        <w:left w:val="none" w:sz="0" w:space="0" w:color="auto"/>
        <w:bottom w:val="none" w:sz="0" w:space="0" w:color="auto"/>
        <w:right w:val="none" w:sz="0" w:space="0" w:color="auto"/>
      </w:divBdr>
    </w:div>
    <w:div w:id="734814346">
      <w:bodyDiv w:val="1"/>
      <w:marLeft w:val="0"/>
      <w:marRight w:val="0"/>
      <w:marTop w:val="0"/>
      <w:marBottom w:val="0"/>
      <w:divBdr>
        <w:top w:val="none" w:sz="0" w:space="0" w:color="auto"/>
        <w:left w:val="none" w:sz="0" w:space="0" w:color="auto"/>
        <w:bottom w:val="none" w:sz="0" w:space="0" w:color="auto"/>
        <w:right w:val="none" w:sz="0" w:space="0" w:color="auto"/>
      </w:divBdr>
    </w:div>
    <w:div w:id="19047508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10</Pages>
  <Words>603</Words>
  <Characters>3439</Characters>
  <Application>Microsoft Office Word</Application>
  <DocSecurity>0</DocSecurity>
  <Lines>28</Lines>
  <Paragraphs>8</Paragraphs>
  <ScaleCrop>false</ScaleCrop>
  <Company/>
  <LinksUpToDate>false</LinksUpToDate>
  <CharactersWithSpaces>4034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磊</dc:creator>
  <cp:keywords/>
  <dc:description/>
  <cp:lastModifiedBy>磊</cp:lastModifiedBy>
  <cp:revision>6</cp:revision>
  <dcterms:created xsi:type="dcterms:W3CDTF">2023-04-11T06:50:00Z</dcterms:created>
  <dcterms:modified xsi:type="dcterms:W3CDTF">2023-04-11T06:54:00Z</dcterms:modified>
</cp:coreProperties>
</file>