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F1768" w14:textId="77777777" w:rsidR="001A4BC5" w:rsidRDefault="001A4BC5" w:rsidP="001A4BC5">
      <w:pPr>
        <w:pStyle w:val="a3"/>
        <w:spacing w:before="0" w:beforeAutospacing="0" w:line="600" w:lineRule="atLeast"/>
        <w:jc w:val="center"/>
      </w:pPr>
      <w:r>
        <w:rPr>
          <w:rFonts w:ascii="仿宋" w:eastAsia="仿宋" w:hAnsi="仿宋" w:hint="eastAsia"/>
          <w:sz w:val="32"/>
          <w:szCs w:val="32"/>
        </w:rPr>
        <w:t>（《天津市专利奖评奖办法》于2020年12月20日经天津市知识产权局修订公布，于2021年1月1日起实施）</w:t>
      </w:r>
    </w:p>
    <w:p w14:paraId="47D1D0C4" w14:textId="77777777" w:rsidR="001A4BC5" w:rsidRDefault="001A4BC5" w:rsidP="001A4BC5">
      <w:pPr>
        <w:pStyle w:val="a3"/>
        <w:spacing w:before="0" w:beforeAutospacing="0" w:line="600" w:lineRule="atLeast"/>
        <w:jc w:val="center"/>
      </w:pPr>
    </w:p>
    <w:p w14:paraId="5742BCD4" w14:textId="77777777" w:rsidR="001A4BC5" w:rsidRDefault="001A4BC5" w:rsidP="001A4BC5">
      <w:pPr>
        <w:pStyle w:val="a3"/>
        <w:spacing w:before="0" w:beforeAutospacing="0" w:line="600" w:lineRule="atLeast"/>
      </w:pPr>
      <w:r>
        <w:rPr>
          <w:rFonts w:ascii="仿宋" w:eastAsia="仿宋" w:hAnsi="仿宋" w:hint="eastAsia"/>
          <w:sz w:val="32"/>
          <w:szCs w:val="32"/>
        </w:rPr>
        <w:t>各区知识产权局、各有关单位：</w:t>
      </w:r>
    </w:p>
    <w:p w14:paraId="3652F1C0" w14:textId="77777777" w:rsidR="001A4BC5" w:rsidRDefault="001A4BC5" w:rsidP="001A4BC5">
      <w:pPr>
        <w:pStyle w:val="a3"/>
        <w:spacing w:line="555" w:lineRule="atLeast"/>
      </w:pPr>
      <w:r>
        <w:rPr>
          <w:rFonts w:ascii="仿宋" w:eastAsia="仿宋" w:hAnsi="仿宋" w:hint="eastAsia"/>
          <w:sz w:val="32"/>
          <w:szCs w:val="32"/>
        </w:rPr>
        <w:t xml:space="preserve">　　为激发创新活力，增强知识产权保护意识，促进自主知识产权的转化运用，催生高价值专利，综合提升保护能力和水平，推动我市经济又好又快发展，市知识产权局制定了《天津市专利奖评奖办法》，现印发给你们，请遵照执行。</w:t>
      </w:r>
    </w:p>
    <w:p w14:paraId="27111956" w14:textId="77777777" w:rsidR="001A4BC5" w:rsidRDefault="001A4BC5" w:rsidP="001A4BC5">
      <w:pPr>
        <w:pStyle w:val="a3"/>
        <w:spacing w:line="360" w:lineRule="atLeast"/>
      </w:pPr>
      <w:r>
        <w:t xml:space="preserve">　　　　　　</w:t>
      </w:r>
    </w:p>
    <w:p w14:paraId="5605AFC3" w14:textId="77777777" w:rsidR="001A4BC5" w:rsidRDefault="001A4BC5" w:rsidP="001A4BC5">
      <w:pPr>
        <w:pStyle w:val="a3"/>
        <w:spacing w:line="555" w:lineRule="atLeast"/>
        <w:ind w:right="645"/>
        <w:jc w:val="center"/>
      </w:pP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rPr>
          <w:sz w:val="32"/>
          <w:szCs w:val="32"/>
        </w:rPr>
        <w:t> </w:t>
      </w:r>
      <w:r>
        <w:t xml:space="preserve">　　</w:t>
      </w:r>
      <w:r>
        <w:t> </w:t>
      </w:r>
      <w:r>
        <w:t> </w:t>
      </w:r>
      <w:r>
        <w:t> </w:t>
      </w:r>
      <w:r>
        <w:t> </w:t>
      </w:r>
      <w:r>
        <w:t> </w:t>
      </w:r>
      <w:r>
        <w:t> </w:t>
      </w:r>
      <w:r>
        <w:t> </w:t>
      </w:r>
      <w:r>
        <w:t> </w:t>
      </w:r>
      <w:r>
        <w:t> </w:t>
      </w:r>
      <w:r>
        <w:t> </w:t>
      </w:r>
      <w:r>
        <w:t> </w:t>
      </w:r>
      <w:r>
        <w:t> </w:t>
      </w:r>
      <w:r>
        <w:t> </w:t>
      </w:r>
      <w:r>
        <w:t> </w:t>
      </w:r>
      <w:r>
        <w:t> </w:t>
      </w:r>
      <w:r>
        <w:t> </w:t>
      </w:r>
      <w:r>
        <w:t> </w:t>
      </w:r>
      <w:r>
        <w:t> </w:t>
      </w:r>
      <w:r>
        <w:t> </w:t>
      </w:r>
      <w:r>
        <w:t> </w:t>
      </w:r>
      <w:r>
        <w:t> </w:t>
      </w:r>
      <w:r>
        <w:t> </w:t>
      </w:r>
      <w:r>
        <w:t> </w:t>
      </w:r>
      <w:r>
        <w:rPr>
          <w:sz w:val="32"/>
          <w:szCs w:val="32"/>
        </w:rPr>
        <w:t>2020</w:t>
      </w:r>
      <w:r>
        <w:rPr>
          <w:rFonts w:ascii="仿宋" w:eastAsia="仿宋" w:hAnsi="仿宋" w:hint="eastAsia"/>
          <w:sz w:val="32"/>
          <w:szCs w:val="32"/>
        </w:rPr>
        <w:t>年</w:t>
      </w:r>
      <w:r>
        <w:rPr>
          <w:sz w:val="32"/>
          <w:szCs w:val="32"/>
        </w:rPr>
        <w:t>12</w:t>
      </w:r>
      <w:r>
        <w:rPr>
          <w:rFonts w:ascii="仿宋" w:eastAsia="仿宋" w:hAnsi="仿宋" w:hint="eastAsia"/>
          <w:sz w:val="32"/>
          <w:szCs w:val="32"/>
        </w:rPr>
        <w:t>月</w:t>
      </w:r>
      <w:r>
        <w:rPr>
          <w:sz w:val="32"/>
          <w:szCs w:val="32"/>
        </w:rPr>
        <w:t>20</w:t>
      </w:r>
      <w:r>
        <w:rPr>
          <w:rFonts w:ascii="仿宋" w:eastAsia="仿宋" w:hAnsi="仿宋" w:hint="eastAsia"/>
          <w:sz w:val="32"/>
          <w:szCs w:val="32"/>
        </w:rPr>
        <w:t>日</w:t>
      </w:r>
    </w:p>
    <w:p w14:paraId="3334BC88" w14:textId="77777777" w:rsidR="001A4BC5" w:rsidRDefault="001A4BC5" w:rsidP="001A4BC5">
      <w:pPr>
        <w:pStyle w:val="a3"/>
        <w:spacing w:line="600" w:lineRule="atLeast"/>
        <w:ind w:firstLine="645"/>
      </w:pPr>
      <w:r>
        <w:rPr>
          <w:rFonts w:ascii="仿宋" w:eastAsia="仿宋" w:hAnsi="仿宋" w:hint="eastAsia"/>
          <w:sz w:val="32"/>
          <w:szCs w:val="32"/>
        </w:rPr>
        <w:t>（此件主动公开）</w:t>
      </w:r>
    </w:p>
    <w:p w14:paraId="09318E71" w14:textId="77777777" w:rsidR="001A4BC5" w:rsidRDefault="001A4BC5" w:rsidP="001A4BC5">
      <w:pPr>
        <w:pStyle w:val="a3"/>
        <w:shd w:val="clear" w:color="auto" w:fill="FFFFFF"/>
        <w:spacing w:line="555" w:lineRule="atLeast"/>
        <w:jc w:val="center"/>
      </w:pPr>
    </w:p>
    <w:p w14:paraId="4D324125" w14:textId="77777777" w:rsidR="001A4BC5" w:rsidRDefault="001A4BC5" w:rsidP="001A4BC5">
      <w:pPr>
        <w:pStyle w:val="a3"/>
        <w:shd w:val="clear" w:color="auto" w:fill="FFFFFF"/>
        <w:spacing w:line="555" w:lineRule="atLeast"/>
        <w:jc w:val="center"/>
      </w:pPr>
      <w:r>
        <w:rPr>
          <w:rFonts w:ascii="方正小标宋简体" w:eastAsia="方正小标宋简体" w:hint="eastAsia"/>
          <w:sz w:val="44"/>
          <w:szCs w:val="44"/>
        </w:rPr>
        <w:t>天津市专利奖评奖办法</w:t>
      </w:r>
    </w:p>
    <w:p w14:paraId="1BF9F5D8" w14:textId="77777777" w:rsidR="001A4BC5" w:rsidRDefault="001A4BC5" w:rsidP="001A4BC5">
      <w:pPr>
        <w:pStyle w:val="a3"/>
        <w:shd w:val="clear" w:color="auto" w:fill="FFFFFF"/>
        <w:spacing w:line="555" w:lineRule="atLeast"/>
        <w:jc w:val="center"/>
      </w:pPr>
      <w:r>
        <w:rPr>
          <w:rFonts w:ascii="黑体" w:eastAsia="黑体" w:hAnsi="黑体" w:hint="eastAsia"/>
          <w:sz w:val="32"/>
          <w:szCs w:val="32"/>
        </w:rPr>
        <w:t>第一章</w:t>
      </w:r>
      <w:r>
        <w:rPr>
          <w:sz w:val="32"/>
          <w:szCs w:val="32"/>
        </w:rPr>
        <w:t> </w:t>
      </w:r>
      <w:r>
        <w:rPr>
          <w:sz w:val="32"/>
          <w:szCs w:val="32"/>
        </w:rPr>
        <w:t> </w:t>
      </w:r>
      <w:r>
        <w:rPr>
          <w:rFonts w:ascii="黑体" w:eastAsia="黑体" w:hAnsi="黑体" w:hint="eastAsia"/>
          <w:sz w:val="32"/>
          <w:szCs w:val="32"/>
        </w:rPr>
        <w:t>总</w:t>
      </w:r>
      <w:r>
        <w:rPr>
          <w:sz w:val="32"/>
          <w:szCs w:val="32"/>
        </w:rPr>
        <w:t> </w:t>
      </w:r>
      <w:r>
        <w:rPr>
          <w:sz w:val="32"/>
          <w:szCs w:val="32"/>
        </w:rPr>
        <w:t> </w:t>
      </w:r>
      <w:r>
        <w:rPr>
          <w:rFonts w:ascii="黑体" w:eastAsia="黑体" w:hAnsi="黑体" w:hint="eastAsia"/>
          <w:sz w:val="32"/>
          <w:szCs w:val="32"/>
        </w:rPr>
        <w:t>则</w:t>
      </w:r>
    </w:p>
    <w:p w14:paraId="5F592B4B"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第一条</w:t>
      </w:r>
      <w:r>
        <w:rPr>
          <w:rFonts w:ascii="仿宋_GB2312" w:eastAsia="仿宋_GB2312" w:hint="eastAsia"/>
          <w:sz w:val="32"/>
          <w:szCs w:val="32"/>
        </w:rPr>
        <w:t xml:space="preserve">　为贯彻落实《天津市专利促进与保护条例》、《天津市知识产权战略纲要》（津政发〔</w:t>
      </w:r>
      <w:r>
        <w:rPr>
          <w:sz w:val="32"/>
          <w:szCs w:val="32"/>
        </w:rPr>
        <w:t>2010</w:t>
      </w:r>
      <w:r>
        <w:rPr>
          <w:rFonts w:ascii="仿宋_GB2312" w:eastAsia="仿宋_GB2312" w:hint="eastAsia"/>
          <w:sz w:val="32"/>
          <w:szCs w:val="32"/>
        </w:rPr>
        <w:t>〕</w:t>
      </w:r>
      <w:r>
        <w:rPr>
          <w:sz w:val="32"/>
          <w:szCs w:val="32"/>
        </w:rPr>
        <w:t>10</w:t>
      </w:r>
      <w:r>
        <w:rPr>
          <w:rFonts w:ascii="仿宋_GB2312" w:eastAsia="仿宋_GB2312" w:hint="eastAsia"/>
          <w:sz w:val="32"/>
          <w:szCs w:val="32"/>
        </w:rPr>
        <w:lastRenderedPageBreak/>
        <w:t>号），增强全社会知识产权意识，提升我市知识产权创造、运用、保护和管理能力，结合我市实际，制定本办法。</w:t>
      </w:r>
    </w:p>
    <w:p w14:paraId="7ADED58D"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第二条</w:t>
      </w:r>
      <w:r>
        <w:rPr>
          <w:rFonts w:ascii="仿宋_GB2312" w:eastAsia="仿宋_GB2312" w:hint="eastAsia"/>
          <w:sz w:val="32"/>
          <w:szCs w:val="32"/>
        </w:rPr>
        <w:t xml:space="preserve">　天津市专利奖（以下简称专利奖）由市人民政府授予在专利创造和运用中取得显著成效的本市专利权人和发明人（设计人）。</w:t>
      </w:r>
    </w:p>
    <w:p w14:paraId="51B38559"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第三条</w:t>
      </w:r>
      <w:r>
        <w:t> </w:t>
      </w:r>
      <w:r>
        <w:t xml:space="preserve"> </w:t>
      </w:r>
      <w:r>
        <w:t> </w:t>
      </w:r>
      <w:r>
        <w:rPr>
          <w:rFonts w:ascii="仿宋_GB2312" w:eastAsia="仿宋_GB2312" w:hint="eastAsia"/>
          <w:sz w:val="32"/>
          <w:szCs w:val="32"/>
        </w:rPr>
        <w:t>参加专利奖评审的专利（以下简称参评专利），是指由国家知识产权局授权，并已实施且有效的专利。专利权人、发明人（设计人）、参评专利以当年度国家知识产权局出具的专利登记簿副本的记载为准。</w:t>
      </w:r>
    </w:p>
    <w:p w14:paraId="6F0F7C60"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 xml:space="preserve">　第四条</w:t>
      </w:r>
      <w:r>
        <w:rPr>
          <w:rFonts w:ascii="仿宋_GB2312" w:eastAsia="仿宋_GB2312" w:hint="eastAsia"/>
          <w:sz w:val="32"/>
          <w:szCs w:val="32"/>
        </w:rPr>
        <w:t xml:space="preserve">　市知识产权局负责专利奖的组织评定工作及评审结果的审核；聘请有关专家组成专业评审组和专家评审委员会，进行专利奖评审；组建评审工作组，负责专利奖申报受理、形式审查及日常工作。</w:t>
      </w:r>
    </w:p>
    <w:p w14:paraId="40234EEF"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第五条</w:t>
      </w:r>
      <w:r>
        <w:rPr>
          <w:rFonts w:ascii="仿宋_GB2312" w:eastAsia="仿宋_GB2312" w:hint="eastAsia"/>
          <w:sz w:val="32"/>
          <w:szCs w:val="32"/>
        </w:rPr>
        <w:t xml:space="preserve">　参评专利的推荐、评审和授奖应遵循公开、公平、公正的原则，坚持创新程度和实施效果并重，择优奖励。</w:t>
      </w:r>
    </w:p>
    <w:p w14:paraId="2597FB92"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第六条</w:t>
      </w:r>
      <w:r>
        <w:rPr>
          <w:rFonts w:ascii="仿宋_GB2312" w:eastAsia="仿宋_GB2312" w:hint="eastAsia"/>
          <w:sz w:val="32"/>
          <w:szCs w:val="32"/>
        </w:rPr>
        <w:t xml:space="preserve">　专利奖设天津市专利金奖、天津市专利优秀奖和天津市专利创业奖，专利奖评选工作每两年举办一</w:t>
      </w:r>
      <w:r>
        <w:rPr>
          <w:rFonts w:ascii="仿宋_GB2312" w:eastAsia="仿宋_GB2312" w:hint="eastAsia"/>
          <w:sz w:val="32"/>
          <w:szCs w:val="32"/>
        </w:rPr>
        <w:lastRenderedPageBreak/>
        <w:t>届，每届授奖总数不超过</w:t>
      </w:r>
      <w:r>
        <w:rPr>
          <w:sz w:val="32"/>
          <w:szCs w:val="32"/>
        </w:rPr>
        <w:t>100</w:t>
      </w:r>
      <w:r>
        <w:rPr>
          <w:rFonts w:ascii="仿宋_GB2312" w:eastAsia="仿宋_GB2312" w:hint="eastAsia"/>
          <w:sz w:val="32"/>
          <w:szCs w:val="32"/>
        </w:rPr>
        <w:t>项，具体授奖数根据当届具体情况确定。</w:t>
      </w:r>
    </w:p>
    <w:p w14:paraId="529AD439" w14:textId="77777777" w:rsidR="001A4BC5" w:rsidRDefault="001A4BC5" w:rsidP="001A4BC5">
      <w:pPr>
        <w:pStyle w:val="a3"/>
        <w:shd w:val="clear" w:color="auto" w:fill="FFFFFF"/>
        <w:spacing w:line="555" w:lineRule="atLeast"/>
        <w:jc w:val="center"/>
      </w:pPr>
      <w:r>
        <w:t> </w:t>
      </w:r>
    </w:p>
    <w:p w14:paraId="18CC73CA" w14:textId="77777777" w:rsidR="001A4BC5" w:rsidRDefault="001A4BC5" w:rsidP="001A4BC5">
      <w:pPr>
        <w:pStyle w:val="a3"/>
        <w:shd w:val="clear" w:color="auto" w:fill="FFFFFF"/>
        <w:spacing w:line="555" w:lineRule="atLeast"/>
        <w:jc w:val="center"/>
      </w:pPr>
      <w:r>
        <w:rPr>
          <w:rFonts w:ascii="黑体" w:eastAsia="黑体" w:hAnsi="黑体" w:hint="eastAsia"/>
          <w:sz w:val="32"/>
          <w:szCs w:val="32"/>
        </w:rPr>
        <w:t>第二章</w:t>
      </w:r>
      <w:r>
        <w:rPr>
          <w:sz w:val="32"/>
          <w:szCs w:val="32"/>
        </w:rPr>
        <w:t> </w:t>
      </w:r>
      <w:r>
        <w:rPr>
          <w:sz w:val="32"/>
          <w:szCs w:val="32"/>
        </w:rPr>
        <w:t> </w:t>
      </w:r>
      <w:r>
        <w:rPr>
          <w:rFonts w:ascii="黑体" w:eastAsia="黑体" w:hAnsi="黑体" w:hint="eastAsia"/>
          <w:sz w:val="32"/>
          <w:szCs w:val="32"/>
        </w:rPr>
        <w:t>专利奖申报与受理</w:t>
      </w:r>
    </w:p>
    <w:p w14:paraId="7682C121"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第七条</w:t>
      </w:r>
      <w:r>
        <w:rPr>
          <w:rFonts w:ascii="仿宋_GB2312" w:eastAsia="仿宋_GB2312" w:hint="eastAsia"/>
          <w:sz w:val="32"/>
          <w:szCs w:val="32"/>
        </w:rPr>
        <w:t xml:space="preserve">　申报条件：</w:t>
      </w:r>
    </w:p>
    <w:p w14:paraId="11380A66" w14:textId="77777777" w:rsidR="001A4BC5" w:rsidRDefault="001A4BC5" w:rsidP="001A4BC5">
      <w:pPr>
        <w:pStyle w:val="a3"/>
        <w:spacing w:line="555" w:lineRule="atLeast"/>
      </w:pPr>
      <w:r>
        <w:rPr>
          <w:rFonts w:ascii="仿宋_GB2312" w:eastAsia="仿宋_GB2312" w:hint="eastAsia"/>
          <w:sz w:val="32"/>
          <w:szCs w:val="32"/>
        </w:rPr>
        <w:t xml:space="preserve">　　（一）专利奖申报主体为专利权人。专利权人是单位的，须在本市注册；是自然人的，须在本市居住且已登记。专利权人为多个的，以专利奖的第一申报人为准。</w:t>
      </w:r>
    </w:p>
    <w:p w14:paraId="2DF3A4D3" w14:textId="77777777" w:rsidR="001A4BC5" w:rsidRDefault="001A4BC5" w:rsidP="001A4BC5">
      <w:pPr>
        <w:pStyle w:val="a3"/>
        <w:shd w:val="clear" w:color="auto" w:fill="FFFFFF"/>
        <w:spacing w:line="555" w:lineRule="atLeast"/>
        <w:ind w:firstLine="645"/>
      </w:pPr>
      <w:r>
        <w:rPr>
          <w:rFonts w:ascii="仿宋_GB2312" w:eastAsia="仿宋_GB2312" w:hint="eastAsia"/>
          <w:sz w:val="32"/>
          <w:szCs w:val="32"/>
        </w:rPr>
        <w:t>（二）参评专利应当为国家知识产权局授权一年以上，且保持有效的发明、实用新型或外观设计单项专利（不含国防专利、保密专利）。</w:t>
      </w:r>
    </w:p>
    <w:p w14:paraId="77070E36"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（三）参评专利权利稳定，不存在专利权属纠纷，也不存在发明人（设计人）的纠纷。</w:t>
      </w:r>
    </w:p>
    <w:p w14:paraId="64B92C78"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（四）参评专利技术方案已经取得良好的经济效益或社会效益。</w:t>
      </w:r>
    </w:p>
    <w:p w14:paraId="2EEBE55D"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第八条</w:t>
      </w:r>
      <w:r>
        <w:rPr>
          <w:rFonts w:ascii="仿宋_GB2312" w:eastAsia="仿宋_GB2312" w:hint="eastAsia"/>
          <w:sz w:val="32"/>
          <w:szCs w:val="32"/>
        </w:rPr>
        <w:t xml:space="preserve">　有下列情况之一的不得申报专利奖：</w:t>
      </w:r>
    </w:p>
    <w:p w14:paraId="2ACAFE99"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（一）参评专利已获得中国专利奖或往届专利奖的；</w:t>
      </w:r>
    </w:p>
    <w:p w14:paraId="4895F6F1" w14:textId="77777777" w:rsidR="001A4BC5" w:rsidRDefault="001A4BC5" w:rsidP="001A4BC5">
      <w:pPr>
        <w:pStyle w:val="a3"/>
        <w:shd w:val="clear" w:color="auto" w:fill="FFFFFF"/>
        <w:spacing w:line="555" w:lineRule="atLeast"/>
        <w:ind w:firstLine="660"/>
      </w:pPr>
      <w:r>
        <w:rPr>
          <w:rFonts w:ascii="仿宋_GB2312" w:eastAsia="仿宋_GB2312" w:hint="eastAsia"/>
          <w:sz w:val="32"/>
          <w:szCs w:val="32"/>
        </w:rPr>
        <w:lastRenderedPageBreak/>
        <w:t>（二）参评专利申报往届专利奖未获奖，且实施效果无新的实质性进展的；</w:t>
      </w:r>
    </w:p>
    <w:p w14:paraId="3C2F60B4" w14:textId="77777777" w:rsidR="001A4BC5" w:rsidRDefault="001A4BC5" w:rsidP="001A4BC5">
      <w:pPr>
        <w:pStyle w:val="a3"/>
        <w:shd w:val="clear" w:color="auto" w:fill="FFFFFF"/>
        <w:spacing w:line="555" w:lineRule="atLeast"/>
        <w:ind w:firstLine="645"/>
      </w:pPr>
      <w:r>
        <w:rPr>
          <w:rFonts w:ascii="仿宋_GB2312" w:eastAsia="仿宋_GB2312" w:hint="eastAsia"/>
          <w:sz w:val="32"/>
          <w:szCs w:val="32"/>
        </w:rPr>
        <w:t>（三）专利权人严重失信的。</w:t>
      </w:r>
    </w:p>
    <w:p w14:paraId="009DBB7A"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 xml:space="preserve">第九条　</w:t>
      </w:r>
      <w:r>
        <w:rPr>
          <w:rFonts w:ascii="仿宋_GB2312" w:eastAsia="仿宋_GB2312" w:hint="eastAsia"/>
          <w:sz w:val="32"/>
          <w:szCs w:val="32"/>
        </w:rPr>
        <w:t>申报人应当遵守诚实守信原则，如实提交各项材料：</w:t>
      </w:r>
    </w:p>
    <w:p w14:paraId="3E2DE1E1"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（一）天津市专利奖申报书；</w:t>
      </w:r>
    </w:p>
    <w:p w14:paraId="013F552D"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（二）参评专利取得经济效益或社会效益的有效证明材料；</w:t>
      </w:r>
    </w:p>
    <w:p w14:paraId="75B35585" w14:textId="77777777" w:rsidR="001A4BC5" w:rsidRDefault="001A4BC5" w:rsidP="001A4BC5">
      <w:pPr>
        <w:pStyle w:val="a3"/>
        <w:spacing w:line="555" w:lineRule="atLeast"/>
        <w:ind w:firstLine="645"/>
      </w:pPr>
      <w:r>
        <w:rPr>
          <w:rFonts w:ascii="仿宋_GB2312" w:eastAsia="仿宋_GB2312" w:hint="eastAsia"/>
          <w:sz w:val="32"/>
          <w:szCs w:val="32"/>
        </w:rPr>
        <w:t>（三）其他相关证明材料。</w:t>
      </w:r>
    </w:p>
    <w:p w14:paraId="7BE4B5AB" w14:textId="77777777" w:rsidR="001A4BC5" w:rsidRDefault="001A4BC5" w:rsidP="001A4BC5">
      <w:pPr>
        <w:pStyle w:val="a3"/>
        <w:spacing w:line="555" w:lineRule="atLeast"/>
        <w:ind w:firstLine="645"/>
      </w:pPr>
      <w:r>
        <w:rPr>
          <w:rFonts w:ascii="仿宋_GB2312" w:eastAsia="仿宋_GB2312" w:hint="eastAsia"/>
          <w:sz w:val="32"/>
          <w:szCs w:val="32"/>
        </w:rPr>
        <w:t>授奖后，发现申报材料不实，且有证据证明不具备获奖条件的，由市知识产权局上报市人民政府撤销授奖并追回证书和奖金。</w:t>
      </w:r>
    </w:p>
    <w:p w14:paraId="101A4B26"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 xml:space="preserve">第十条　</w:t>
      </w:r>
      <w:r>
        <w:rPr>
          <w:rFonts w:ascii="仿宋_GB2312" w:eastAsia="仿宋_GB2312" w:hint="eastAsia"/>
          <w:sz w:val="32"/>
          <w:szCs w:val="32"/>
        </w:rPr>
        <w:t>组织推荐与受理工作：</w:t>
      </w:r>
    </w:p>
    <w:p w14:paraId="5BC1A52E"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（一）各区、市有关部门、市属企事业单位、高等院校和中央驻</w:t>
      </w:r>
      <w:proofErr w:type="gramStart"/>
      <w:r>
        <w:rPr>
          <w:rFonts w:ascii="仿宋_GB2312" w:eastAsia="仿宋_GB2312" w:hint="eastAsia"/>
          <w:sz w:val="32"/>
          <w:szCs w:val="32"/>
        </w:rPr>
        <w:t>津单位</w:t>
      </w:r>
      <w:proofErr w:type="gramEnd"/>
      <w:r>
        <w:rPr>
          <w:rFonts w:ascii="仿宋_GB2312" w:eastAsia="仿宋_GB2312" w:hint="eastAsia"/>
          <w:sz w:val="32"/>
          <w:szCs w:val="32"/>
        </w:rPr>
        <w:t>等的专利管理部门负责专利奖申报推荐工作。</w:t>
      </w:r>
    </w:p>
    <w:p w14:paraId="2EEAAE47"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（二）各有关单位应优先组织推荐战略性新兴产业领域的专利、对维护和扩大专利产品市场份额起到重大作用</w:t>
      </w:r>
      <w:r>
        <w:rPr>
          <w:rFonts w:ascii="仿宋_GB2312" w:eastAsia="仿宋_GB2312" w:hint="eastAsia"/>
          <w:sz w:val="32"/>
          <w:szCs w:val="32"/>
        </w:rPr>
        <w:lastRenderedPageBreak/>
        <w:t>的专利、在专利侵权纠纷中胜诉的专利、同时向境外提出专利申请的专利、列入国家或行业标准的专利、对社会进步具有重大意义的专利。</w:t>
      </w:r>
    </w:p>
    <w:p w14:paraId="7C2CA817" w14:textId="77777777" w:rsidR="001A4BC5" w:rsidRDefault="001A4BC5" w:rsidP="001A4BC5">
      <w:pPr>
        <w:pStyle w:val="a3"/>
        <w:shd w:val="clear" w:color="auto" w:fill="FFFFFF"/>
        <w:spacing w:line="555" w:lineRule="atLeast"/>
        <w:ind w:firstLine="645"/>
      </w:pPr>
      <w:r>
        <w:rPr>
          <w:rFonts w:ascii="仿宋_GB2312" w:eastAsia="仿宋_GB2312" w:hint="eastAsia"/>
          <w:sz w:val="32"/>
          <w:szCs w:val="32"/>
        </w:rPr>
        <w:t>（三）各有关单位应按要求向评审工作组递交申报材料。</w:t>
      </w:r>
    </w:p>
    <w:p w14:paraId="58397370"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（四）规定受理日期结束后，不接受任何补正材料。</w:t>
      </w:r>
    </w:p>
    <w:p w14:paraId="2F0E7DE9" w14:textId="77777777" w:rsidR="001A4BC5" w:rsidRDefault="001A4BC5" w:rsidP="001A4BC5">
      <w:pPr>
        <w:pStyle w:val="a3"/>
        <w:shd w:val="clear" w:color="auto" w:fill="FFFFFF"/>
        <w:spacing w:line="555" w:lineRule="atLeast"/>
        <w:jc w:val="center"/>
      </w:pPr>
      <w:r>
        <w:t> </w:t>
      </w:r>
    </w:p>
    <w:p w14:paraId="5A010E89" w14:textId="77777777" w:rsidR="001A4BC5" w:rsidRDefault="001A4BC5" w:rsidP="001A4BC5">
      <w:pPr>
        <w:pStyle w:val="a3"/>
        <w:shd w:val="clear" w:color="auto" w:fill="FFFFFF"/>
        <w:spacing w:line="555" w:lineRule="atLeast"/>
        <w:jc w:val="center"/>
      </w:pPr>
      <w:r>
        <w:rPr>
          <w:rFonts w:ascii="黑体" w:eastAsia="黑体" w:hAnsi="黑体" w:hint="eastAsia"/>
          <w:sz w:val="32"/>
          <w:szCs w:val="32"/>
        </w:rPr>
        <w:t>第三章</w:t>
      </w:r>
      <w:r>
        <w:rPr>
          <w:sz w:val="32"/>
          <w:szCs w:val="32"/>
        </w:rPr>
        <w:t> </w:t>
      </w:r>
      <w:r>
        <w:rPr>
          <w:sz w:val="32"/>
          <w:szCs w:val="32"/>
        </w:rPr>
        <w:t> </w:t>
      </w:r>
      <w:r>
        <w:rPr>
          <w:rFonts w:ascii="黑体" w:eastAsia="黑体" w:hAnsi="黑体" w:hint="eastAsia"/>
          <w:sz w:val="32"/>
          <w:szCs w:val="32"/>
        </w:rPr>
        <w:t>专利奖评定</w:t>
      </w:r>
      <w:r>
        <w:t xml:space="preserve">　　</w:t>
      </w:r>
    </w:p>
    <w:p w14:paraId="75979521"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第十一条</w:t>
      </w:r>
      <w:r>
        <w:rPr>
          <w:rFonts w:ascii="仿宋_GB2312" w:eastAsia="仿宋_GB2312" w:hint="eastAsia"/>
          <w:sz w:val="32"/>
          <w:szCs w:val="32"/>
        </w:rPr>
        <w:t xml:space="preserve">　评审标准：</w:t>
      </w:r>
    </w:p>
    <w:p w14:paraId="5340FA63" w14:textId="77777777" w:rsidR="001A4BC5" w:rsidRDefault="001A4BC5" w:rsidP="001A4BC5">
      <w:pPr>
        <w:pStyle w:val="a3"/>
        <w:shd w:val="clear" w:color="auto" w:fill="FFFFFF"/>
        <w:spacing w:line="555" w:lineRule="atLeast"/>
      </w:pPr>
      <w:r>
        <w:t xml:space="preserve">　　</w:t>
      </w:r>
      <w:r>
        <w:rPr>
          <w:rFonts w:ascii="楷体_GB2312" w:eastAsia="楷体_GB2312" w:hint="eastAsia"/>
          <w:sz w:val="32"/>
          <w:szCs w:val="32"/>
        </w:rPr>
        <w:t>（一）天津市专利金奖。</w:t>
      </w:r>
    </w:p>
    <w:p w14:paraId="7ED29B47" w14:textId="77777777" w:rsidR="001A4BC5" w:rsidRDefault="001A4BC5" w:rsidP="001A4BC5">
      <w:pPr>
        <w:pStyle w:val="a3"/>
        <w:shd w:val="clear" w:color="auto" w:fill="FFFFFF"/>
        <w:spacing w:line="555" w:lineRule="atLeast"/>
      </w:pPr>
      <w:r>
        <w:t xml:space="preserve">　　</w:t>
      </w:r>
      <w:r>
        <w:rPr>
          <w:sz w:val="32"/>
          <w:szCs w:val="32"/>
        </w:rPr>
        <w:t>1.</w:t>
      </w:r>
      <w:r>
        <w:rPr>
          <w:sz w:val="32"/>
          <w:szCs w:val="32"/>
        </w:rPr>
        <w:t> </w:t>
      </w:r>
      <w:r>
        <w:rPr>
          <w:rFonts w:ascii="仿宋_GB2312" w:eastAsia="仿宋_GB2312" w:hint="eastAsia"/>
          <w:sz w:val="32"/>
          <w:szCs w:val="32"/>
        </w:rPr>
        <w:t>发明专利或实用新型专利为产品的核心技术专利，技术方案新颖，创新性强，技术水平高，对促进本领域的技术进步与创新有突出作用。外观设计专利在产品形状、图案、色彩方面设计有突出特点，具备创新程度高、产品质量安全可靠、实用性强等特征。</w:t>
      </w:r>
    </w:p>
    <w:p w14:paraId="709BE189" w14:textId="77777777" w:rsidR="001A4BC5" w:rsidRDefault="001A4BC5" w:rsidP="001A4BC5">
      <w:pPr>
        <w:pStyle w:val="a3"/>
        <w:shd w:val="clear" w:color="auto" w:fill="FFFFFF"/>
        <w:spacing w:line="555" w:lineRule="atLeast"/>
      </w:pPr>
      <w:r>
        <w:t xml:space="preserve">　　</w:t>
      </w:r>
      <w:r>
        <w:rPr>
          <w:sz w:val="32"/>
          <w:szCs w:val="32"/>
        </w:rPr>
        <w:t>2.</w:t>
      </w:r>
      <w:r>
        <w:rPr>
          <w:sz w:val="32"/>
          <w:szCs w:val="32"/>
        </w:rPr>
        <w:t> </w:t>
      </w:r>
      <w:r>
        <w:rPr>
          <w:rFonts w:ascii="仿宋_GB2312" w:eastAsia="仿宋_GB2312" w:hint="eastAsia"/>
          <w:sz w:val="32"/>
          <w:szCs w:val="32"/>
        </w:rPr>
        <w:t>专利权人围绕参评专利拥有较多的专利或专利申请，形成较为完善的专利保护群。</w:t>
      </w:r>
    </w:p>
    <w:p w14:paraId="27283098" w14:textId="77777777" w:rsidR="001A4BC5" w:rsidRDefault="001A4BC5" w:rsidP="001A4BC5">
      <w:pPr>
        <w:pStyle w:val="a3"/>
        <w:shd w:val="clear" w:color="auto" w:fill="FFFFFF"/>
        <w:spacing w:line="555" w:lineRule="atLeast"/>
      </w:pPr>
      <w:r>
        <w:lastRenderedPageBreak/>
        <w:t xml:space="preserve">　　</w:t>
      </w:r>
      <w:r>
        <w:rPr>
          <w:sz w:val="32"/>
          <w:szCs w:val="32"/>
        </w:rPr>
        <w:t>3.</w:t>
      </w:r>
      <w:r>
        <w:rPr>
          <w:sz w:val="32"/>
          <w:szCs w:val="32"/>
        </w:rPr>
        <w:t> </w:t>
      </w:r>
      <w:r>
        <w:rPr>
          <w:rFonts w:ascii="仿宋_GB2312" w:eastAsia="仿宋_GB2312" w:hint="eastAsia"/>
          <w:sz w:val="32"/>
          <w:szCs w:val="32"/>
        </w:rPr>
        <w:t>参评专利已取得显著的经济效益或社会效益，对行业技术进步、产业结构调整或社会进步有重大意义。</w:t>
      </w:r>
    </w:p>
    <w:p w14:paraId="4BDCF961" w14:textId="77777777" w:rsidR="001A4BC5" w:rsidRDefault="001A4BC5" w:rsidP="001A4BC5">
      <w:pPr>
        <w:pStyle w:val="a3"/>
        <w:shd w:val="clear" w:color="auto" w:fill="FFFFFF"/>
        <w:spacing w:line="555" w:lineRule="atLeast"/>
      </w:pPr>
      <w:r>
        <w:t xml:space="preserve">　</w:t>
      </w:r>
      <w:r>
        <w:rPr>
          <w:rFonts w:ascii="楷体_GB2312" w:eastAsia="楷体_GB2312" w:hint="eastAsia"/>
          <w:sz w:val="32"/>
          <w:szCs w:val="32"/>
        </w:rPr>
        <w:t xml:space="preserve">　（二）天津市专利优秀奖。</w:t>
      </w:r>
    </w:p>
    <w:p w14:paraId="7757E6FC" w14:textId="77777777" w:rsidR="001A4BC5" w:rsidRDefault="001A4BC5" w:rsidP="001A4BC5">
      <w:pPr>
        <w:pStyle w:val="a3"/>
        <w:shd w:val="clear" w:color="auto" w:fill="FFFFFF"/>
        <w:spacing w:line="555" w:lineRule="atLeast"/>
      </w:pPr>
      <w:r>
        <w:t xml:space="preserve">　　</w:t>
      </w:r>
      <w:r>
        <w:rPr>
          <w:sz w:val="32"/>
          <w:szCs w:val="32"/>
        </w:rPr>
        <w:t>1.</w:t>
      </w:r>
      <w:r>
        <w:rPr>
          <w:sz w:val="32"/>
          <w:szCs w:val="32"/>
        </w:rPr>
        <w:t> </w:t>
      </w:r>
      <w:r>
        <w:rPr>
          <w:rFonts w:ascii="仿宋_GB2312" w:eastAsia="仿宋_GB2312" w:hint="eastAsia"/>
          <w:sz w:val="32"/>
          <w:szCs w:val="32"/>
        </w:rPr>
        <w:t>发明专利或实用新型专利为产品的关键技术专利，技术方案新颖，创新性强，技术水平高，对促进本领域的技术进步与创新有明显作用。外观设计专利在产品形状、图案、色彩方面设计有明显特点，具备创新程度较高、产品质量安全可靠、实用性强等特征。</w:t>
      </w:r>
    </w:p>
    <w:p w14:paraId="02454F35" w14:textId="77777777" w:rsidR="001A4BC5" w:rsidRDefault="001A4BC5" w:rsidP="001A4BC5">
      <w:pPr>
        <w:pStyle w:val="a3"/>
        <w:shd w:val="clear" w:color="auto" w:fill="FFFFFF"/>
        <w:spacing w:line="555" w:lineRule="atLeast"/>
      </w:pPr>
      <w:r>
        <w:t xml:space="preserve">　　</w:t>
      </w:r>
      <w:r>
        <w:rPr>
          <w:sz w:val="32"/>
          <w:szCs w:val="32"/>
        </w:rPr>
        <w:t>2.</w:t>
      </w:r>
      <w:r>
        <w:rPr>
          <w:sz w:val="32"/>
          <w:szCs w:val="32"/>
        </w:rPr>
        <w:t> </w:t>
      </w:r>
      <w:r>
        <w:rPr>
          <w:rFonts w:ascii="仿宋_GB2312" w:eastAsia="仿宋_GB2312" w:hint="eastAsia"/>
          <w:sz w:val="32"/>
          <w:szCs w:val="32"/>
        </w:rPr>
        <w:t>专利权人围绕参评专利拥有一些专利或专利申请，形成专利保护群。</w:t>
      </w:r>
    </w:p>
    <w:p w14:paraId="37FC48E5" w14:textId="77777777" w:rsidR="001A4BC5" w:rsidRDefault="001A4BC5" w:rsidP="001A4BC5">
      <w:pPr>
        <w:pStyle w:val="a3"/>
        <w:shd w:val="clear" w:color="auto" w:fill="FFFFFF"/>
        <w:spacing w:line="555" w:lineRule="atLeast"/>
      </w:pPr>
      <w:r>
        <w:t xml:space="preserve">　　</w:t>
      </w:r>
      <w:r>
        <w:rPr>
          <w:sz w:val="32"/>
          <w:szCs w:val="32"/>
        </w:rPr>
        <w:t>3.</w:t>
      </w:r>
      <w:r>
        <w:rPr>
          <w:sz w:val="32"/>
          <w:szCs w:val="32"/>
        </w:rPr>
        <w:t> </w:t>
      </w:r>
      <w:r>
        <w:rPr>
          <w:rFonts w:ascii="仿宋_GB2312" w:eastAsia="仿宋_GB2312" w:hint="eastAsia"/>
          <w:sz w:val="32"/>
          <w:szCs w:val="32"/>
        </w:rPr>
        <w:t>参评专利已取得较好的经济效益或社会效益，对行业的技术进步、产业结构调整或社会进步有较大意义。</w:t>
      </w:r>
    </w:p>
    <w:p w14:paraId="64854C36" w14:textId="77777777" w:rsidR="001A4BC5" w:rsidRDefault="001A4BC5" w:rsidP="001A4BC5">
      <w:pPr>
        <w:pStyle w:val="a3"/>
        <w:shd w:val="clear" w:color="auto" w:fill="FFFFFF"/>
        <w:spacing w:line="555" w:lineRule="atLeast"/>
      </w:pPr>
      <w:r>
        <w:t xml:space="preserve">　　</w:t>
      </w:r>
      <w:r>
        <w:rPr>
          <w:rFonts w:ascii="楷体_GB2312" w:eastAsia="楷体_GB2312" w:hint="eastAsia"/>
          <w:sz w:val="32"/>
          <w:szCs w:val="32"/>
        </w:rPr>
        <w:t>（三）天津市专利创业奖。</w:t>
      </w:r>
      <w:r>
        <w:rPr>
          <w:rFonts w:ascii="仿宋_GB2312" w:eastAsia="仿宋_GB2312" w:hint="eastAsia"/>
          <w:sz w:val="32"/>
          <w:szCs w:val="32"/>
        </w:rPr>
        <w:t>由我市创新创业发明与设计相关大赛产生。通过大赛评审，评选出技术（设计）水平高、有市场前景、可实施创业的专利项目，作为天津市专利创业奖参评项目。</w:t>
      </w:r>
    </w:p>
    <w:p w14:paraId="68C9AE59"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第十二条</w:t>
      </w:r>
      <w:r>
        <w:t> </w:t>
      </w:r>
      <w:r>
        <w:t> </w:t>
      </w:r>
      <w:r>
        <w:rPr>
          <w:rFonts w:ascii="仿宋_GB2312" w:eastAsia="仿宋_GB2312" w:hint="eastAsia"/>
          <w:sz w:val="32"/>
          <w:szCs w:val="32"/>
        </w:rPr>
        <w:t>评价指标及权重：</w:t>
      </w:r>
    </w:p>
    <w:p w14:paraId="1C327A67" w14:textId="77777777" w:rsidR="001A4BC5" w:rsidRDefault="001A4BC5" w:rsidP="001A4BC5">
      <w:pPr>
        <w:pStyle w:val="a3"/>
        <w:shd w:val="clear" w:color="auto" w:fill="FFFFFF"/>
        <w:spacing w:line="555" w:lineRule="atLeast"/>
      </w:pPr>
      <w:r>
        <w:t xml:space="preserve">　</w:t>
      </w:r>
      <w:r>
        <w:rPr>
          <w:rFonts w:ascii="楷体_GB2312" w:eastAsia="楷体_GB2312" w:hint="eastAsia"/>
          <w:sz w:val="32"/>
          <w:szCs w:val="32"/>
        </w:rPr>
        <w:t xml:space="preserve">　（一）发明专利和实用新型专利。</w:t>
      </w:r>
    </w:p>
    <w:p w14:paraId="578E94BD" w14:textId="77777777" w:rsidR="001A4BC5" w:rsidRDefault="001A4BC5" w:rsidP="001A4BC5">
      <w:pPr>
        <w:pStyle w:val="a3"/>
        <w:shd w:val="clear" w:color="auto" w:fill="FFFFFF"/>
        <w:spacing w:line="555" w:lineRule="atLeast"/>
      </w:pPr>
      <w:r>
        <w:lastRenderedPageBreak/>
        <w:t xml:space="preserve">　　</w:t>
      </w:r>
      <w:r>
        <w:rPr>
          <w:sz w:val="32"/>
          <w:szCs w:val="32"/>
        </w:rPr>
        <w:t>1.</w:t>
      </w:r>
      <w:r>
        <w:rPr>
          <w:sz w:val="32"/>
          <w:szCs w:val="32"/>
        </w:rPr>
        <w:t> </w:t>
      </w:r>
      <w:r>
        <w:rPr>
          <w:rFonts w:ascii="仿宋_GB2312" w:eastAsia="仿宋_GB2312" w:hint="eastAsia"/>
          <w:sz w:val="32"/>
          <w:szCs w:val="32"/>
        </w:rPr>
        <w:t>专利质量（</w:t>
      </w:r>
      <w:r>
        <w:rPr>
          <w:sz w:val="32"/>
          <w:szCs w:val="32"/>
        </w:rPr>
        <w:t>25%</w:t>
      </w:r>
      <w:r>
        <w:rPr>
          <w:rFonts w:ascii="仿宋_GB2312" w:eastAsia="仿宋_GB2312" w:hint="eastAsia"/>
          <w:sz w:val="32"/>
          <w:szCs w:val="32"/>
        </w:rPr>
        <w:t>）。对专利的新颖性、创造性、实用性及文本质量进行评价。</w:t>
      </w:r>
    </w:p>
    <w:p w14:paraId="13ECEFE7" w14:textId="77777777" w:rsidR="001A4BC5" w:rsidRDefault="001A4BC5" w:rsidP="001A4BC5">
      <w:pPr>
        <w:pStyle w:val="a3"/>
        <w:shd w:val="clear" w:color="auto" w:fill="FFFFFF"/>
        <w:spacing w:line="555" w:lineRule="atLeast"/>
      </w:pPr>
      <w:r>
        <w:t xml:space="preserve">　　</w:t>
      </w:r>
      <w:r>
        <w:rPr>
          <w:sz w:val="32"/>
          <w:szCs w:val="32"/>
        </w:rPr>
        <w:t>2.</w:t>
      </w:r>
      <w:r>
        <w:rPr>
          <w:sz w:val="32"/>
          <w:szCs w:val="32"/>
        </w:rPr>
        <w:t> </w:t>
      </w:r>
      <w:r>
        <w:rPr>
          <w:rFonts w:ascii="仿宋_GB2312" w:eastAsia="仿宋_GB2312" w:hint="eastAsia"/>
          <w:sz w:val="32"/>
          <w:szCs w:val="32"/>
        </w:rPr>
        <w:t>技术先进性（</w:t>
      </w:r>
      <w:r>
        <w:rPr>
          <w:sz w:val="32"/>
          <w:szCs w:val="32"/>
        </w:rPr>
        <w:t>25%</w:t>
      </w:r>
      <w:r>
        <w:rPr>
          <w:rFonts w:ascii="仿宋_GB2312" w:eastAsia="仿宋_GB2312" w:hint="eastAsia"/>
          <w:sz w:val="32"/>
          <w:szCs w:val="32"/>
        </w:rPr>
        <w:t>）。对专利的原创性及重要性、相比当前同类技术的优缺点及专利技术的通用性进行评价。</w:t>
      </w:r>
    </w:p>
    <w:p w14:paraId="03BC3136" w14:textId="77777777" w:rsidR="001A4BC5" w:rsidRDefault="001A4BC5" w:rsidP="001A4BC5">
      <w:pPr>
        <w:pStyle w:val="a3"/>
        <w:shd w:val="clear" w:color="auto" w:fill="FFFFFF"/>
        <w:spacing w:line="555" w:lineRule="atLeast"/>
      </w:pPr>
      <w:r>
        <w:t xml:space="preserve">　　</w:t>
      </w:r>
      <w:r>
        <w:rPr>
          <w:sz w:val="32"/>
          <w:szCs w:val="32"/>
        </w:rPr>
        <w:t>3.</w:t>
      </w:r>
      <w:r>
        <w:rPr>
          <w:sz w:val="32"/>
          <w:szCs w:val="32"/>
        </w:rPr>
        <w:t> </w:t>
      </w:r>
      <w:r>
        <w:rPr>
          <w:rFonts w:ascii="仿宋_GB2312" w:eastAsia="仿宋_GB2312" w:hint="eastAsia"/>
          <w:sz w:val="32"/>
          <w:szCs w:val="32"/>
        </w:rPr>
        <w:t>运用及保护（</w:t>
      </w:r>
      <w:r>
        <w:rPr>
          <w:sz w:val="32"/>
          <w:szCs w:val="32"/>
        </w:rPr>
        <w:t>35%</w:t>
      </w:r>
      <w:r>
        <w:rPr>
          <w:rFonts w:ascii="仿宋_GB2312" w:eastAsia="仿宋_GB2312" w:hint="eastAsia"/>
          <w:sz w:val="32"/>
          <w:szCs w:val="32"/>
        </w:rPr>
        <w:t>）。对专利的运用及保护措施和成效、经济效益及市场份额进行评价。</w:t>
      </w:r>
    </w:p>
    <w:p w14:paraId="65B8923F" w14:textId="77777777" w:rsidR="001A4BC5" w:rsidRDefault="001A4BC5" w:rsidP="001A4BC5">
      <w:pPr>
        <w:pStyle w:val="a3"/>
        <w:shd w:val="clear" w:color="auto" w:fill="FFFFFF"/>
        <w:spacing w:line="555" w:lineRule="atLeast"/>
      </w:pPr>
      <w:r>
        <w:t xml:space="preserve">　　</w:t>
      </w:r>
      <w:r>
        <w:rPr>
          <w:sz w:val="32"/>
          <w:szCs w:val="32"/>
        </w:rPr>
        <w:t>4.</w:t>
      </w:r>
      <w:r>
        <w:rPr>
          <w:sz w:val="32"/>
          <w:szCs w:val="32"/>
        </w:rPr>
        <w:t> </w:t>
      </w:r>
      <w:r>
        <w:rPr>
          <w:rFonts w:ascii="仿宋_GB2312" w:eastAsia="仿宋_GB2312" w:hint="eastAsia"/>
          <w:sz w:val="32"/>
          <w:szCs w:val="32"/>
        </w:rPr>
        <w:t>社会效益及发展前景（</w:t>
      </w:r>
      <w:r>
        <w:rPr>
          <w:sz w:val="32"/>
          <w:szCs w:val="32"/>
        </w:rPr>
        <w:t>15%</w:t>
      </w:r>
      <w:r>
        <w:rPr>
          <w:rFonts w:ascii="仿宋_GB2312" w:eastAsia="仿宋_GB2312" w:hint="eastAsia"/>
          <w:sz w:val="32"/>
          <w:szCs w:val="32"/>
        </w:rPr>
        <w:t>）。对专利的社会效益、行业影响力及政策适应性进行评价。</w:t>
      </w:r>
    </w:p>
    <w:p w14:paraId="74CF6C7A" w14:textId="77777777" w:rsidR="001A4BC5" w:rsidRDefault="001A4BC5" w:rsidP="001A4BC5">
      <w:pPr>
        <w:pStyle w:val="a3"/>
        <w:shd w:val="clear" w:color="auto" w:fill="FFFFFF"/>
        <w:spacing w:line="555" w:lineRule="atLeast"/>
      </w:pPr>
      <w:r>
        <w:t xml:space="preserve">　</w:t>
      </w:r>
      <w:r>
        <w:rPr>
          <w:rFonts w:ascii="楷体_GB2312" w:eastAsia="楷体_GB2312" w:hint="eastAsia"/>
          <w:sz w:val="32"/>
          <w:szCs w:val="32"/>
        </w:rPr>
        <w:t xml:space="preserve">　（二）外观设计专利。</w:t>
      </w:r>
    </w:p>
    <w:p w14:paraId="54816C3F" w14:textId="77777777" w:rsidR="001A4BC5" w:rsidRDefault="001A4BC5" w:rsidP="001A4BC5">
      <w:pPr>
        <w:pStyle w:val="a3"/>
        <w:shd w:val="clear" w:color="auto" w:fill="FFFFFF"/>
        <w:spacing w:line="555" w:lineRule="atLeast"/>
      </w:pPr>
      <w:r>
        <w:t xml:space="preserve">　　</w:t>
      </w:r>
      <w:r>
        <w:rPr>
          <w:sz w:val="32"/>
          <w:szCs w:val="32"/>
        </w:rPr>
        <w:t>1.</w:t>
      </w:r>
      <w:r>
        <w:rPr>
          <w:sz w:val="32"/>
          <w:szCs w:val="32"/>
        </w:rPr>
        <w:t> </w:t>
      </w:r>
      <w:r>
        <w:rPr>
          <w:rFonts w:ascii="仿宋_GB2312" w:eastAsia="仿宋_GB2312" w:hint="eastAsia"/>
          <w:sz w:val="32"/>
          <w:szCs w:val="32"/>
        </w:rPr>
        <w:t>专利质量（</w:t>
      </w:r>
      <w:r>
        <w:rPr>
          <w:sz w:val="32"/>
          <w:szCs w:val="32"/>
        </w:rPr>
        <w:t>25%</w:t>
      </w:r>
      <w:r>
        <w:rPr>
          <w:rFonts w:ascii="仿宋_GB2312" w:eastAsia="仿宋_GB2312" w:hint="eastAsia"/>
          <w:sz w:val="32"/>
          <w:szCs w:val="32"/>
        </w:rPr>
        <w:t>）。对专利的创新性、工业适用性及文本质量进行评价。</w:t>
      </w:r>
    </w:p>
    <w:p w14:paraId="04228455" w14:textId="77777777" w:rsidR="001A4BC5" w:rsidRDefault="001A4BC5" w:rsidP="001A4BC5">
      <w:pPr>
        <w:pStyle w:val="a3"/>
        <w:shd w:val="clear" w:color="auto" w:fill="FFFFFF"/>
        <w:spacing w:line="555" w:lineRule="atLeast"/>
      </w:pPr>
      <w:r>
        <w:t xml:space="preserve">　　</w:t>
      </w:r>
      <w:r>
        <w:rPr>
          <w:sz w:val="32"/>
          <w:szCs w:val="32"/>
        </w:rPr>
        <w:t>2.</w:t>
      </w:r>
      <w:r>
        <w:rPr>
          <w:sz w:val="32"/>
          <w:szCs w:val="32"/>
        </w:rPr>
        <w:t> </w:t>
      </w:r>
      <w:r>
        <w:rPr>
          <w:rFonts w:ascii="仿宋_GB2312" w:eastAsia="仿宋_GB2312" w:hint="eastAsia"/>
          <w:sz w:val="32"/>
          <w:szCs w:val="32"/>
        </w:rPr>
        <w:t>设计要点及理念的表达（</w:t>
      </w:r>
      <w:r>
        <w:rPr>
          <w:sz w:val="32"/>
          <w:szCs w:val="32"/>
        </w:rPr>
        <w:t>25%</w:t>
      </w:r>
      <w:r>
        <w:rPr>
          <w:rFonts w:ascii="仿宋_GB2312" w:eastAsia="仿宋_GB2312" w:hint="eastAsia"/>
          <w:sz w:val="32"/>
          <w:szCs w:val="32"/>
        </w:rPr>
        <w:t>）。对专利设计的独特性、艺术性、象征性及功能性进行评价。</w:t>
      </w:r>
    </w:p>
    <w:p w14:paraId="3B3B6362" w14:textId="77777777" w:rsidR="001A4BC5" w:rsidRDefault="001A4BC5" w:rsidP="001A4BC5">
      <w:pPr>
        <w:pStyle w:val="a3"/>
        <w:shd w:val="clear" w:color="auto" w:fill="FFFFFF"/>
        <w:spacing w:line="555" w:lineRule="atLeast"/>
      </w:pPr>
      <w:r>
        <w:t xml:space="preserve">　　</w:t>
      </w:r>
      <w:r>
        <w:rPr>
          <w:sz w:val="32"/>
          <w:szCs w:val="32"/>
        </w:rPr>
        <w:t>3.</w:t>
      </w:r>
      <w:r>
        <w:rPr>
          <w:sz w:val="32"/>
          <w:szCs w:val="32"/>
        </w:rPr>
        <w:t> </w:t>
      </w:r>
      <w:r>
        <w:rPr>
          <w:rFonts w:ascii="仿宋_GB2312" w:eastAsia="仿宋_GB2312" w:hint="eastAsia"/>
          <w:sz w:val="32"/>
          <w:szCs w:val="32"/>
        </w:rPr>
        <w:t>运用及保护（</w:t>
      </w:r>
      <w:r>
        <w:rPr>
          <w:sz w:val="32"/>
          <w:szCs w:val="32"/>
        </w:rPr>
        <w:t>35%</w:t>
      </w:r>
      <w:r>
        <w:rPr>
          <w:rFonts w:ascii="仿宋_GB2312" w:eastAsia="仿宋_GB2312" w:hint="eastAsia"/>
          <w:sz w:val="32"/>
          <w:szCs w:val="32"/>
        </w:rPr>
        <w:t>）。对专利的运用及保护措施、经济效益及市场份额进行评价。</w:t>
      </w:r>
    </w:p>
    <w:p w14:paraId="70606A69" w14:textId="77777777" w:rsidR="001A4BC5" w:rsidRDefault="001A4BC5" w:rsidP="001A4BC5">
      <w:pPr>
        <w:pStyle w:val="a3"/>
        <w:shd w:val="clear" w:color="auto" w:fill="FFFFFF"/>
        <w:spacing w:line="555" w:lineRule="atLeast"/>
      </w:pPr>
      <w:r>
        <w:t xml:space="preserve">　　</w:t>
      </w:r>
      <w:r>
        <w:rPr>
          <w:sz w:val="32"/>
          <w:szCs w:val="32"/>
        </w:rPr>
        <w:t>4.</w:t>
      </w:r>
      <w:r>
        <w:rPr>
          <w:sz w:val="32"/>
          <w:szCs w:val="32"/>
        </w:rPr>
        <w:t> </w:t>
      </w:r>
      <w:r>
        <w:rPr>
          <w:rFonts w:ascii="仿宋_GB2312" w:eastAsia="仿宋_GB2312" w:hint="eastAsia"/>
          <w:sz w:val="32"/>
          <w:szCs w:val="32"/>
        </w:rPr>
        <w:t>社会效益及发展前景（</w:t>
      </w:r>
      <w:r>
        <w:rPr>
          <w:sz w:val="32"/>
          <w:szCs w:val="32"/>
        </w:rPr>
        <w:t>15%</w:t>
      </w:r>
      <w:r>
        <w:rPr>
          <w:rFonts w:ascii="仿宋_GB2312" w:eastAsia="仿宋_GB2312" w:hint="eastAsia"/>
          <w:sz w:val="32"/>
          <w:szCs w:val="32"/>
        </w:rPr>
        <w:t>）。对专利的社会效益和发展前景进行评价。</w:t>
      </w:r>
    </w:p>
    <w:p w14:paraId="3DDF26BF"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第十三条</w:t>
      </w:r>
      <w:r>
        <w:rPr>
          <w:rFonts w:ascii="仿宋_GB2312" w:eastAsia="仿宋_GB2312" w:hint="eastAsia"/>
          <w:sz w:val="32"/>
          <w:szCs w:val="32"/>
        </w:rPr>
        <w:t xml:space="preserve">　评审程序：</w:t>
      </w:r>
    </w:p>
    <w:p w14:paraId="34DE36BE" w14:textId="77777777" w:rsidR="001A4BC5" w:rsidRDefault="001A4BC5" w:rsidP="001A4BC5">
      <w:pPr>
        <w:pStyle w:val="a3"/>
        <w:shd w:val="clear" w:color="auto" w:fill="FFFFFF"/>
        <w:spacing w:line="555" w:lineRule="atLeast"/>
      </w:pPr>
      <w:r>
        <w:lastRenderedPageBreak/>
        <w:t xml:space="preserve">　　</w:t>
      </w:r>
      <w:r>
        <w:rPr>
          <w:rFonts w:ascii="楷体_GB2312" w:eastAsia="楷体_GB2312" w:hint="eastAsia"/>
          <w:sz w:val="32"/>
          <w:szCs w:val="32"/>
        </w:rPr>
        <w:t>（一）形式审查。</w:t>
      </w:r>
      <w:r>
        <w:rPr>
          <w:rFonts w:ascii="仿宋_GB2312" w:eastAsia="仿宋_GB2312" w:hint="eastAsia"/>
          <w:sz w:val="32"/>
          <w:szCs w:val="32"/>
        </w:rPr>
        <w:t>评审工作组对申报材料依据本办法第七条、第八条规定进行形式审查。对不符合第七条规定条件之一或有第八条规定情况之一的，不予提交评审。</w:t>
      </w:r>
    </w:p>
    <w:p w14:paraId="4BE6EA32" w14:textId="77777777" w:rsidR="001A4BC5" w:rsidRDefault="001A4BC5" w:rsidP="001A4BC5">
      <w:pPr>
        <w:pStyle w:val="a3"/>
        <w:shd w:val="clear" w:color="auto" w:fill="FFFFFF"/>
        <w:spacing w:line="555" w:lineRule="atLeast"/>
      </w:pPr>
      <w:r>
        <w:t xml:space="preserve">　</w:t>
      </w:r>
      <w:r>
        <w:rPr>
          <w:rFonts w:ascii="楷体_GB2312" w:eastAsia="楷体_GB2312" w:hint="eastAsia"/>
          <w:sz w:val="32"/>
          <w:szCs w:val="32"/>
        </w:rPr>
        <w:t xml:space="preserve">　（二）专家评审。</w:t>
      </w:r>
      <w:r>
        <w:rPr>
          <w:rFonts w:ascii="仿宋_GB2312" w:eastAsia="仿宋_GB2312" w:hint="eastAsia"/>
          <w:sz w:val="32"/>
          <w:szCs w:val="32"/>
        </w:rPr>
        <w:t>对通过形式审查的参评专利进行专业评审组初评和专家评审委员会复评。</w:t>
      </w:r>
    </w:p>
    <w:p w14:paraId="74B34B77" w14:textId="77777777" w:rsidR="001A4BC5" w:rsidRDefault="001A4BC5" w:rsidP="001A4BC5">
      <w:pPr>
        <w:pStyle w:val="a3"/>
        <w:shd w:val="clear" w:color="auto" w:fill="FFFFFF"/>
        <w:spacing w:line="555" w:lineRule="atLeast"/>
      </w:pPr>
      <w:r>
        <w:t xml:space="preserve">　　</w:t>
      </w:r>
      <w:r>
        <w:rPr>
          <w:sz w:val="32"/>
          <w:szCs w:val="32"/>
        </w:rPr>
        <w:t>1</w:t>
      </w:r>
      <w:r>
        <w:rPr>
          <w:rFonts w:ascii="仿宋_GB2312" w:eastAsia="仿宋_GB2312" w:hint="eastAsia"/>
          <w:sz w:val="32"/>
          <w:szCs w:val="32"/>
        </w:rPr>
        <w:t>．专业评审组按照本办法第十一条规定的评审标准进行初评，依据申报材料的内容逐项打分，并提出获奖专利及其奖励等级的初评意见。</w:t>
      </w:r>
    </w:p>
    <w:p w14:paraId="1D630320" w14:textId="77777777" w:rsidR="001A4BC5" w:rsidRDefault="001A4BC5" w:rsidP="001A4BC5">
      <w:pPr>
        <w:pStyle w:val="a3"/>
        <w:shd w:val="clear" w:color="auto" w:fill="FFFFFF"/>
        <w:spacing w:line="555" w:lineRule="atLeast"/>
      </w:pPr>
      <w:r>
        <w:t xml:space="preserve">　　</w:t>
      </w:r>
      <w:r>
        <w:rPr>
          <w:sz w:val="32"/>
          <w:szCs w:val="32"/>
        </w:rPr>
        <w:t>2</w:t>
      </w:r>
      <w:r>
        <w:rPr>
          <w:rFonts w:ascii="仿宋_GB2312" w:eastAsia="仿宋_GB2312" w:hint="eastAsia"/>
          <w:sz w:val="32"/>
          <w:szCs w:val="32"/>
        </w:rPr>
        <w:t>．评审工作组汇总专业评审组的初评意见后，按等级优先原则（即优先遵循专业评审组建议的奖励等级）和评分排序原则（即建议奖励等级相同的，按照评分从高到低的顺序排序）提出初评结果。</w:t>
      </w:r>
    </w:p>
    <w:p w14:paraId="7A7BB5DE" w14:textId="77777777" w:rsidR="001A4BC5" w:rsidRDefault="001A4BC5" w:rsidP="001A4BC5">
      <w:pPr>
        <w:pStyle w:val="a3"/>
        <w:shd w:val="clear" w:color="auto" w:fill="FFFFFF"/>
        <w:spacing w:line="555" w:lineRule="atLeast"/>
      </w:pPr>
      <w:r>
        <w:t xml:space="preserve">　　</w:t>
      </w:r>
      <w:r>
        <w:rPr>
          <w:sz w:val="32"/>
          <w:szCs w:val="32"/>
        </w:rPr>
        <w:t>3</w:t>
      </w:r>
      <w:r>
        <w:rPr>
          <w:rFonts w:ascii="仿宋_GB2312" w:eastAsia="仿宋_GB2312" w:hint="eastAsia"/>
          <w:sz w:val="32"/>
          <w:szCs w:val="32"/>
        </w:rPr>
        <w:t>．评审工作组将初评结果</w:t>
      </w:r>
      <w:proofErr w:type="gramStart"/>
      <w:r>
        <w:rPr>
          <w:rFonts w:ascii="仿宋_GB2312" w:eastAsia="仿宋_GB2312" w:hint="eastAsia"/>
          <w:sz w:val="32"/>
          <w:szCs w:val="32"/>
        </w:rPr>
        <w:t>送专家</w:t>
      </w:r>
      <w:proofErr w:type="gramEnd"/>
      <w:r>
        <w:rPr>
          <w:rFonts w:ascii="仿宋_GB2312" w:eastAsia="仿宋_GB2312" w:hint="eastAsia"/>
          <w:sz w:val="32"/>
          <w:szCs w:val="32"/>
        </w:rPr>
        <w:t>评审委员会复评。专家评审委员会按照少数服从多数原则，以记名投票方式进行复评，提出专利奖获奖项目建议名单。</w:t>
      </w:r>
    </w:p>
    <w:p w14:paraId="76FCFE48" w14:textId="77777777" w:rsidR="001A4BC5" w:rsidRDefault="001A4BC5" w:rsidP="001A4BC5">
      <w:pPr>
        <w:pStyle w:val="a3"/>
        <w:shd w:val="clear" w:color="auto" w:fill="FFFFFF"/>
        <w:spacing w:line="555" w:lineRule="atLeast"/>
      </w:pPr>
      <w:r>
        <w:t xml:space="preserve">　　</w:t>
      </w:r>
      <w:r>
        <w:rPr>
          <w:rFonts w:ascii="楷体_GB2312" w:eastAsia="楷体_GB2312" w:hint="eastAsia"/>
          <w:sz w:val="32"/>
          <w:szCs w:val="32"/>
        </w:rPr>
        <w:t>（三）审核。</w:t>
      </w:r>
      <w:r>
        <w:rPr>
          <w:rFonts w:ascii="仿宋_GB2312" w:eastAsia="仿宋_GB2312" w:hint="eastAsia"/>
          <w:sz w:val="32"/>
          <w:szCs w:val="32"/>
        </w:rPr>
        <w:t>评审工作组将专利奖获奖项目建议名单报市知识产权局审核。</w:t>
      </w:r>
    </w:p>
    <w:p w14:paraId="62B3FB14"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第十四条</w:t>
      </w:r>
      <w:r>
        <w:rPr>
          <w:rFonts w:ascii="仿宋_GB2312" w:eastAsia="仿宋_GB2312" w:hint="eastAsia"/>
          <w:sz w:val="32"/>
          <w:szCs w:val="32"/>
        </w:rPr>
        <w:t xml:space="preserve">　公示：</w:t>
      </w:r>
    </w:p>
    <w:p w14:paraId="2DB40FE6" w14:textId="77777777" w:rsidR="001A4BC5" w:rsidRDefault="001A4BC5" w:rsidP="001A4BC5">
      <w:pPr>
        <w:pStyle w:val="a3"/>
        <w:shd w:val="clear" w:color="auto" w:fill="FFFFFF"/>
        <w:spacing w:line="555" w:lineRule="atLeast"/>
      </w:pPr>
      <w:r>
        <w:rPr>
          <w:rFonts w:ascii="仿宋_GB2312" w:eastAsia="仿宋_GB2312" w:hint="eastAsia"/>
          <w:sz w:val="32"/>
          <w:szCs w:val="32"/>
        </w:rPr>
        <w:lastRenderedPageBreak/>
        <w:t xml:space="preserve">　　（一）市知识产权局将审核通过的专利奖获奖项目建议名单经官方网站向社会公示，接受社会监督。</w:t>
      </w:r>
    </w:p>
    <w:p w14:paraId="6FD2B807"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（二）公示异议期为</w:t>
      </w:r>
      <w:r>
        <w:rPr>
          <w:sz w:val="32"/>
          <w:szCs w:val="32"/>
        </w:rPr>
        <w:t>10</w:t>
      </w:r>
      <w:r>
        <w:rPr>
          <w:rFonts w:ascii="仿宋_GB2312" w:eastAsia="仿宋_GB2312" w:hint="eastAsia"/>
          <w:sz w:val="32"/>
          <w:szCs w:val="32"/>
        </w:rPr>
        <w:t>天。有异议者，应在公示异议期内向市知识产权局提出，逾期不予受理。提出异议的单位或个人应当提供书面材料和必要的证明材料，并表明真实身份，否则不予受理。</w:t>
      </w:r>
    </w:p>
    <w:p w14:paraId="01EADDB5"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 xml:space="preserve">　第十五条</w:t>
      </w:r>
      <w:r>
        <w:rPr>
          <w:rFonts w:ascii="仿宋_GB2312" w:eastAsia="仿宋_GB2312" w:hint="eastAsia"/>
          <w:sz w:val="32"/>
          <w:szCs w:val="32"/>
        </w:rPr>
        <w:t xml:space="preserve">　异议处理：</w:t>
      </w:r>
    </w:p>
    <w:p w14:paraId="2A48114B"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（一）公示异议期满后，市知识产权局责成评审工作组对影响授奖的项目，向推荐单位下达异议处理通知书，要求推荐单位在规定时间内进行补正和处理。逾期未报送补正材料和处理意见的，取消授奖。</w:t>
      </w:r>
    </w:p>
    <w:p w14:paraId="29CC27FE"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二）推荐单位接到异议处理通知书后，应在规定时间内核实异议材料，并将补正、调查、核实的书面材料及时报送评审工作组。必要时，市知识产权局可组织专家评审委员会的有关专家进行调查，提出调查处理意见。异议处理过程中，相关推荐单位应予以协助，涉及异议的任何一方应积极配合，不得推诿和延误。</w:t>
      </w:r>
    </w:p>
    <w:p w14:paraId="1826F92B" w14:textId="77777777" w:rsidR="001A4BC5" w:rsidRDefault="001A4BC5" w:rsidP="001A4BC5">
      <w:pPr>
        <w:pStyle w:val="a3"/>
        <w:shd w:val="clear" w:color="auto" w:fill="FFFFFF"/>
        <w:spacing w:line="555" w:lineRule="atLeast"/>
      </w:pPr>
      <w:r>
        <w:rPr>
          <w:rFonts w:ascii="仿宋_GB2312" w:eastAsia="仿宋_GB2312" w:hint="eastAsia"/>
          <w:sz w:val="32"/>
          <w:szCs w:val="32"/>
        </w:rPr>
        <w:t xml:space="preserve">　　（三）异议处理工作结束后，评审工作组汇总公示及异议处理结果，报市知识产权局审核。</w:t>
      </w:r>
    </w:p>
    <w:p w14:paraId="2A319B72" w14:textId="77777777" w:rsidR="001A4BC5" w:rsidRDefault="001A4BC5" w:rsidP="001A4BC5">
      <w:pPr>
        <w:pStyle w:val="a3"/>
        <w:shd w:val="clear" w:color="auto" w:fill="FFFFFF"/>
        <w:spacing w:line="555" w:lineRule="atLeast"/>
        <w:ind w:firstLine="675"/>
      </w:pPr>
      <w:r>
        <w:rPr>
          <w:rFonts w:ascii="黑体" w:eastAsia="黑体" w:hAnsi="黑体" w:hint="eastAsia"/>
          <w:sz w:val="32"/>
          <w:szCs w:val="32"/>
        </w:rPr>
        <w:lastRenderedPageBreak/>
        <w:t xml:space="preserve">第十六条　</w:t>
      </w:r>
      <w:r>
        <w:rPr>
          <w:rFonts w:ascii="仿宋_GB2312" w:eastAsia="仿宋_GB2312" w:hint="eastAsia"/>
          <w:sz w:val="32"/>
          <w:szCs w:val="32"/>
        </w:rPr>
        <w:t>市知识产权局将无异议或确认异议不成立的专利奖获奖项目报请市人民政府批准。</w:t>
      </w:r>
    </w:p>
    <w:p w14:paraId="4C25406D" w14:textId="77777777" w:rsidR="001A4BC5" w:rsidRDefault="001A4BC5" w:rsidP="001A4BC5">
      <w:pPr>
        <w:pStyle w:val="a3"/>
        <w:shd w:val="clear" w:color="auto" w:fill="FFFFFF"/>
        <w:spacing w:line="555" w:lineRule="atLeast"/>
        <w:ind w:firstLine="675"/>
      </w:pPr>
      <w:r>
        <w:t> </w:t>
      </w:r>
    </w:p>
    <w:p w14:paraId="4C257189" w14:textId="77777777" w:rsidR="001A4BC5" w:rsidRDefault="001A4BC5" w:rsidP="001A4BC5">
      <w:pPr>
        <w:pStyle w:val="a3"/>
        <w:shd w:val="clear" w:color="auto" w:fill="FFFFFF"/>
        <w:spacing w:line="555" w:lineRule="atLeast"/>
        <w:jc w:val="center"/>
      </w:pPr>
      <w:r>
        <w:rPr>
          <w:rFonts w:ascii="黑体" w:eastAsia="黑体" w:hAnsi="黑体" w:hint="eastAsia"/>
          <w:sz w:val="32"/>
          <w:szCs w:val="32"/>
        </w:rPr>
        <w:t>第四章</w:t>
      </w:r>
      <w:r>
        <w:rPr>
          <w:sz w:val="32"/>
          <w:szCs w:val="32"/>
        </w:rPr>
        <w:t> </w:t>
      </w:r>
      <w:r>
        <w:rPr>
          <w:sz w:val="32"/>
          <w:szCs w:val="32"/>
        </w:rPr>
        <w:t> </w:t>
      </w:r>
      <w:r>
        <w:rPr>
          <w:rFonts w:ascii="黑体" w:eastAsia="黑体" w:hAnsi="黑体" w:hint="eastAsia"/>
          <w:sz w:val="32"/>
          <w:szCs w:val="32"/>
        </w:rPr>
        <w:t>表彰与奖励</w:t>
      </w:r>
    </w:p>
    <w:p w14:paraId="538169BD"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 xml:space="preserve">　第十七条</w:t>
      </w:r>
      <w:r>
        <w:rPr>
          <w:rFonts w:ascii="仿宋_GB2312" w:eastAsia="仿宋_GB2312" w:hint="eastAsia"/>
          <w:sz w:val="32"/>
          <w:szCs w:val="32"/>
        </w:rPr>
        <w:t xml:space="preserve">　专利奖获奖项目名单报经市人民政府批准后，由市知识产权局向社会公布，并负责组织表彰活动。表彰奖励所需资金由市知识产权专项资金统筹安排。</w:t>
      </w:r>
    </w:p>
    <w:p w14:paraId="26C250C0"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第十八条</w:t>
      </w:r>
      <w:r>
        <w:rPr>
          <w:rFonts w:ascii="仿宋_GB2312" w:eastAsia="仿宋_GB2312" w:hint="eastAsia"/>
          <w:sz w:val="32"/>
          <w:szCs w:val="32"/>
        </w:rPr>
        <w:t xml:space="preserve">　对获奖的专利权人、发明人（设计人），其所在单位或上级主管部门可另行给予适当奖励。</w:t>
      </w:r>
    </w:p>
    <w:p w14:paraId="07A0AE78" w14:textId="77777777" w:rsidR="001A4BC5" w:rsidRDefault="001A4BC5" w:rsidP="001A4BC5">
      <w:pPr>
        <w:pStyle w:val="a3"/>
        <w:shd w:val="clear" w:color="auto" w:fill="FFFFFF"/>
        <w:spacing w:line="555" w:lineRule="atLeast"/>
      </w:pPr>
      <w:r>
        <w:t xml:space="preserve">　　</w:t>
      </w:r>
      <w:r>
        <w:rPr>
          <w:rFonts w:ascii="黑体" w:eastAsia="黑体" w:hAnsi="黑体" w:hint="eastAsia"/>
          <w:sz w:val="32"/>
          <w:szCs w:val="32"/>
        </w:rPr>
        <w:t>第十九条</w:t>
      </w:r>
      <w:r>
        <w:rPr>
          <w:rFonts w:ascii="仿宋_GB2312" w:eastAsia="仿宋_GB2312" w:hint="eastAsia"/>
          <w:sz w:val="32"/>
          <w:szCs w:val="32"/>
        </w:rPr>
        <w:t xml:space="preserve">　获得专利奖的专利可优先推荐申报中国专利奖。</w:t>
      </w:r>
    </w:p>
    <w:p w14:paraId="3A51E778" w14:textId="77777777" w:rsidR="001A4BC5" w:rsidRDefault="001A4BC5" w:rsidP="001A4BC5">
      <w:pPr>
        <w:pStyle w:val="a3"/>
        <w:shd w:val="clear" w:color="auto" w:fill="FFFFFF"/>
        <w:spacing w:line="555" w:lineRule="atLeast"/>
        <w:jc w:val="center"/>
      </w:pPr>
      <w:r>
        <w:t> </w:t>
      </w:r>
    </w:p>
    <w:p w14:paraId="7329B112" w14:textId="77777777" w:rsidR="001A4BC5" w:rsidRDefault="001A4BC5" w:rsidP="001A4BC5">
      <w:pPr>
        <w:pStyle w:val="a3"/>
        <w:shd w:val="clear" w:color="auto" w:fill="FFFFFF"/>
        <w:spacing w:line="555" w:lineRule="atLeast"/>
        <w:jc w:val="center"/>
      </w:pPr>
      <w:r>
        <w:rPr>
          <w:rFonts w:ascii="黑体" w:eastAsia="黑体" w:hAnsi="黑体" w:hint="eastAsia"/>
          <w:sz w:val="32"/>
          <w:szCs w:val="32"/>
        </w:rPr>
        <w:t>第五章</w:t>
      </w:r>
      <w:r>
        <w:rPr>
          <w:sz w:val="32"/>
          <w:szCs w:val="32"/>
        </w:rPr>
        <w:t> </w:t>
      </w:r>
      <w:r>
        <w:rPr>
          <w:sz w:val="32"/>
          <w:szCs w:val="32"/>
        </w:rPr>
        <w:t> </w:t>
      </w:r>
      <w:r>
        <w:rPr>
          <w:rFonts w:ascii="黑体" w:eastAsia="黑体" w:hAnsi="黑体" w:hint="eastAsia"/>
          <w:sz w:val="32"/>
          <w:szCs w:val="32"/>
        </w:rPr>
        <w:t>附</w:t>
      </w:r>
      <w:r>
        <w:rPr>
          <w:sz w:val="32"/>
          <w:szCs w:val="32"/>
        </w:rPr>
        <w:t> </w:t>
      </w:r>
      <w:r>
        <w:rPr>
          <w:sz w:val="32"/>
          <w:szCs w:val="32"/>
        </w:rPr>
        <w:t> </w:t>
      </w:r>
      <w:r>
        <w:rPr>
          <w:rFonts w:ascii="黑体" w:eastAsia="黑体" w:hAnsi="黑体" w:hint="eastAsia"/>
          <w:sz w:val="32"/>
          <w:szCs w:val="32"/>
        </w:rPr>
        <w:t>则</w:t>
      </w:r>
    </w:p>
    <w:p w14:paraId="217AEE83" w14:textId="77777777" w:rsidR="001A4BC5" w:rsidRDefault="001A4BC5" w:rsidP="001A4BC5">
      <w:pPr>
        <w:pStyle w:val="a3"/>
        <w:shd w:val="clear" w:color="auto" w:fill="FFFFFF"/>
        <w:spacing w:line="555" w:lineRule="atLeast"/>
        <w:ind w:firstLine="645"/>
      </w:pPr>
      <w:r>
        <w:rPr>
          <w:rFonts w:ascii="黑体" w:eastAsia="黑体" w:hAnsi="黑体" w:hint="eastAsia"/>
          <w:sz w:val="32"/>
          <w:szCs w:val="32"/>
        </w:rPr>
        <w:t>第二十条</w:t>
      </w:r>
      <w:r>
        <w:rPr>
          <w:rFonts w:ascii="仿宋_GB2312" w:eastAsia="仿宋_GB2312" w:hint="eastAsia"/>
          <w:sz w:val="32"/>
          <w:szCs w:val="32"/>
        </w:rPr>
        <w:t xml:space="preserve">　本办法自</w:t>
      </w:r>
      <w:r>
        <w:rPr>
          <w:sz w:val="32"/>
          <w:szCs w:val="32"/>
        </w:rPr>
        <w:t>2021</w:t>
      </w:r>
      <w:r>
        <w:rPr>
          <w:rFonts w:ascii="仿宋_GB2312" w:eastAsia="仿宋_GB2312" w:hint="eastAsia"/>
          <w:sz w:val="32"/>
          <w:szCs w:val="32"/>
        </w:rPr>
        <w:t>年</w:t>
      </w:r>
      <w:r>
        <w:rPr>
          <w:sz w:val="32"/>
          <w:szCs w:val="32"/>
        </w:rPr>
        <w:t>1</w:t>
      </w:r>
      <w:r>
        <w:rPr>
          <w:rFonts w:ascii="仿宋_GB2312" w:eastAsia="仿宋_GB2312" w:hint="eastAsia"/>
          <w:sz w:val="32"/>
          <w:szCs w:val="32"/>
        </w:rPr>
        <w:t>月</w:t>
      </w:r>
      <w:r>
        <w:rPr>
          <w:sz w:val="32"/>
          <w:szCs w:val="32"/>
        </w:rPr>
        <w:t>1</w:t>
      </w:r>
      <w:r>
        <w:rPr>
          <w:rFonts w:ascii="仿宋_GB2312" w:eastAsia="仿宋_GB2312" w:hint="eastAsia"/>
          <w:sz w:val="32"/>
          <w:szCs w:val="32"/>
        </w:rPr>
        <w:t>日起施行，</w:t>
      </w:r>
      <w:r>
        <w:rPr>
          <w:sz w:val="32"/>
          <w:szCs w:val="32"/>
        </w:rPr>
        <w:t>2025</w:t>
      </w:r>
      <w:r>
        <w:rPr>
          <w:rFonts w:ascii="仿宋_GB2312" w:eastAsia="仿宋_GB2312" w:hint="eastAsia"/>
          <w:sz w:val="32"/>
          <w:szCs w:val="32"/>
        </w:rPr>
        <w:t>年</w:t>
      </w:r>
      <w:r>
        <w:rPr>
          <w:sz w:val="32"/>
          <w:szCs w:val="32"/>
        </w:rPr>
        <w:t>12</w:t>
      </w:r>
      <w:r>
        <w:rPr>
          <w:rFonts w:ascii="仿宋_GB2312" w:eastAsia="仿宋_GB2312" w:hint="eastAsia"/>
          <w:sz w:val="32"/>
          <w:szCs w:val="32"/>
        </w:rPr>
        <w:t>月</w:t>
      </w:r>
      <w:r>
        <w:rPr>
          <w:sz w:val="32"/>
          <w:szCs w:val="32"/>
        </w:rPr>
        <w:t>31</w:t>
      </w:r>
      <w:r>
        <w:rPr>
          <w:rFonts w:ascii="仿宋_GB2312" w:eastAsia="仿宋_GB2312" w:hint="eastAsia"/>
          <w:sz w:val="32"/>
          <w:szCs w:val="32"/>
        </w:rPr>
        <w:t>日废止，有效期</w:t>
      </w:r>
      <w:r>
        <w:rPr>
          <w:sz w:val="32"/>
          <w:szCs w:val="32"/>
        </w:rPr>
        <w:t>5</w:t>
      </w:r>
      <w:r>
        <w:rPr>
          <w:rFonts w:ascii="仿宋_GB2312" w:eastAsia="仿宋_GB2312" w:hint="eastAsia"/>
          <w:sz w:val="32"/>
          <w:szCs w:val="32"/>
        </w:rPr>
        <w:t>年。</w:t>
      </w:r>
    </w:p>
    <w:p w14:paraId="75486D93" w14:textId="1FB255A3" w:rsidR="00A12355" w:rsidRPr="001A4BC5" w:rsidRDefault="00000000"/>
    <w:sectPr w:rsidR="00A12355" w:rsidRPr="001A4B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83B"/>
    <w:rsid w:val="001A4BC5"/>
    <w:rsid w:val="00434F99"/>
    <w:rsid w:val="00683C47"/>
    <w:rsid w:val="007542EF"/>
    <w:rsid w:val="00760AB6"/>
    <w:rsid w:val="009229C2"/>
    <w:rsid w:val="009F083B"/>
    <w:rsid w:val="00C75B92"/>
    <w:rsid w:val="00DA4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AE44A"/>
  <w15:chartTrackingRefBased/>
  <w15:docId w15:val="{51248813-B950-4165-B76E-5902C36DF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42E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60A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100156">
      <w:bodyDiv w:val="1"/>
      <w:marLeft w:val="0"/>
      <w:marRight w:val="0"/>
      <w:marTop w:val="0"/>
      <w:marBottom w:val="0"/>
      <w:divBdr>
        <w:top w:val="none" w:sz="0" w:space="0" w:color="auto"/>
        <w:left w:val="none" w:sz="0" w:space="0" w:color="auto"/>
        <w:bottom w:val="none" w:sz="0" w:space="0" w:color="auto"/>
        <w:right w:val="none" w:sz="0" w:space="0" w:color="auto"/>
      </w:divBdr>
    </w:div>
    <w:div w:id="611402996">
      <w:bodyDiv w:val="1"/>
      <w:marLeft w:val="0"/>
      <w:marRight w:val="0"/>
      <w:marTop w:val="0"/>
      <w:marBottom w:val="0"/>
      <w:divBdr>
        <w:top w:val="none" w:sz="0" w:space="0" w:color="auto"/>
        <w:left w:val="none" w:sz="0" w:space="0" w:color="auto"/>
        <w:bottom w:val="none" w:sz="0" w:space="0" w:color="auto"/>
        <w:right w:val="none" w:sz="0" w:space="0" w:color="auto"/>
      </w:divBdr>
    </w:div>
    <w:div w:id="734814346">
      <w:bodyDiv w:val="1"/>
      <w:marLeft w:val="0"/>
      <w:marRight w:val="0"/>
      <w:marTop w:val="0"/>
      <w:marBottom w:val="0"/>
      <w:divBdr>
        <w:top w:val="none" w:sz="0" w:space="0" w:color="auto"/>
        <w:left w:val="none" w:sz="0" w:space="0" w:color="auto"/>
        <w:bottom w:val="none" w:sz="0" w:space="0" w:color="auto"/>
        <w:right w:val="none" w:sz="0" w:space="0" w:color="auto"/>
      </w:divBdr>
    </w:div>
    <w:div w:id="1756585185">
      <w:bodyDiv w:val="1"/>
      <w:marLeft w:val="0"/>
      <w:marRight w:val="0"/>
      <w:marTop w:val="0"/>
      <w:marBottom w:val="0"/>
      <w:divBdr>
        <w:top w:val="none" w:sz="0" w:space="0" w:color="auto"/>
        <w:left w:val="none" w:sz="0" w:space="0" w:color="auto"/>
        <w:bottom w:val="none" w:sz="0" w:space="0" w:color="auto"/>
        <w:right w:val="none" w:sz="0" w:space="0" w:color="auto"/>
      </w:divBdr>
    </w:div>
    <w:div w:id="1904750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524</Words>
  <Characters>2989</Characters>
  <Application>Microsoft Office Word</Application>
  <DocSecurity>0</DocSecurity>
  <Lines>24</Lines>
  <Paragraphs>7</Paragraphs>
  <ScaleCrop>false</ScaleCrop>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磊</dc:creator>
  <cp:keywords/>
  <dc:description/>
  <cp:lastModifiedBy>磊</cp:lastModifiedBy>
  <cp:revision>7</cp:revision>
  <dcterms:created xsi:type="dcterms:W3CDTF">2023-04-11T06:50:00Z</dcterms:created>
  <dcterms:modified xsi:type="dcterms:W3CDTF">2023-04-11T06:56:00Z</dcterms:modified>
</cp:coreProperties>
</file>